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5E093E83" w:rsidR="00453B12" w:rsidRPr="00C11589" w:rsidRDefault="00453B12" w:rsidP="00453B12">
      <w:pPr>
        <w:widowControl w:val="0"/>
        <w:tabs>
          <w:tab w:val="right" w:pos="9639"/>
        </w:tabs>
        <w:spacing w:after="0"/>
        <w:rPr>
          <w:rFonts w:ascii="Arial" w:eastAsia="Times New Roman" w:hAnsi="Arial"/>
          <w:b/>
          <w:bCs/>
          <w:sz w:val="24"/>
          <w:szCs w:val="24"/>
        </w:rPr>
      </w:pPr>
      <w:r w:rsidRPr="5F28F256">
        <w:rPr>
          <w:rFonts w:ascii="Arial" w:eastAsia="Times New Roman" w:hAnsi="Arial"/>
          <w:b/>
          <w:bCs/>
          <w:sz w:val="24"/>
          <w:szCs w:val="24"/>
        </w:rPr>
        <w:t>3GPP TSG-RAN WG2 Meeting #12</w:t>
      </w:r>
      <w:r w:rsidR="00FF6BD8" w:rsidRPr="5F28F256">
        <w:rPr>
          <w:rFonts w:ascii="Arial" w:eastAsia="Times New Roman" w:hAnsi="Arial"/>
          <w:b/>
          <w:bCs/>
          <w:sz w:val="24"/>
          <w:szCs w:val="24"/>
        </w:rPr>
        <w:t>5</w:t>
      </w:r>
      <w:r w:rsidR="006C0739" w:rsidRPr="5F28F256">
        <w:rPr>
          <w:rFonts w:ascii="Arial" w:eastAsia="Times New Roman" w:hAnsi="Arial"/>
          <w:b/>
          <w:bCs/>
          <w:sz w:val="24"/>
          <w:szCs w:val="24"/>
        </w:rPr>
        <w:t>bis</w:t>
      </w:r>
      <w:r w:rsidRPr="5F28F256">
        <w:rPr>
          <w:rFonts w:ascii="Arial" w:eastAsia="Times New Roman" w:hAnsi="Arial"/>
          <w:b/>
          <w:bCs/>
          <w:sz w:val="24"/>
          <w:szCs w:val="24"/>
        </w:rPr>
        <w:t xml:space="preserve">                                    </w:t>
      </w:r>
      <w:r>
        <w:tab/>
      </w:r>
      <w:r w:rsidRPr="5F28F256">
        <w:rPr>
          <w:rFonts w:ascii="Arial" w:eastAsia="Times New Roman" w:hAnsi="Arial"/>
          <w:b/>
          <w:bCs/>
          <w:sz w:val="24"/>
          <w:szCs w:val="24"/>
        </w:rPr>
        <w:t>R2-2</w:t>
      </w:r>
      <w:r w:rsidR="00745D1A" w:rsidRPr="5F28F256">
        <w:rPr>
          <w:rFonts w:ascii="Arial" w:eastAsia="Times New Roman" w:hAnsi="Arial"/>
          <w:b/>
          <w:bCs/>
          <w:sz w:val="24"/>
          <w:szCs w:val="24"/>
        </w:rPr>
        <w:t>40</w:t>
      </w:r>
      <w:r w:rsidR="0386F694" w:rsidRPr="5F28F256">
        <w:rPr>
          <w:rFonts w:ascii="Arial" w:eastAsia="Times New Roman" w:hAnsi="Arial"/>
          <w:b/>
          <w:bCs/>
          <w:sz w:val="24"/>
          <w:szCs w:val="24"/>
        </w:rPr>
        <w:t>2809</w:t>
      </w:r>
    </w:p>
    <w:p w14:paraId="3CF0036C" w14:textId="684379C3" w:rsidR="00453B12" w:rsidRDefault="005A6301" w:rsidP="00453B12">
      <w:pPr>
        <w:widowControl w:val="0"/>
        <w:tabs>
          <w:tab w:val="right" w:pos="9639"/>
        </w:tabs>
        <w:spacing w:after="0"/>
        <w:rPr>
          <w:rFonts w:ascii="Arial" w:eastAsia="Times New Roman" w:hAnsi="Arial"/>
          <w:b/>
          <w:bCs/>
          <w:i/>
          <w:sz w:val="24"/>
          <w:szCs w:val="24"/>
        </w:rPr>
      </w:pPr>
      <w:r w:rsidRPr="005A6301">
        <w:rPr>
          <w:rFonts w:ascii="Arial" w:eastAsia="Times New Roman" w:hAnsi="Arial"/>
          <w:b/>
          <w:bCs/>
          <w:sz w:val="24"/>
          <w:szCs w:val="24"/>
        </w:rPr>
        <w:t xml:space="preserve">Changsha, China, April 15th – 19th, 2024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317349DB" w:rsidR="00453B12" w:rsidRPr="006D3016" w:rsidRDefault="00453B12" w:rsidP="260259B2">
      <w:pPr>
        <w:tabs>
          <w:tab w:val="left" w:pos="1985"/>
        </w:tabs>
        <w:spacing w:after="120"/>
        <w:rPr>
          <w:rFonts w:ascii="Arial" w:eastAsia="MS Mincho" w:hAnsi="Arial" w:cs="Arial"/>
          <w:b/>
          <w:bCs/>
          <w:sz w:val="24"/>
          <w:szCs w:val="24"/>
        </w:rPr>
      </w:pPr>
      <w:r w:rsidRPr="260259B2">
        <w:rPr>
          <w:rFonts w:ascii="Arial" w:eastAsia="MS Mincho" w:hAnsi="Arial" w:cs="Arial"/>
          <w:b/>
          <w:bCs/>
          <w:sz w:val="24"/>
          <w:szCs w:val="24"/>
        </w:rPr>
        <w:t>Agenda item:</w:t>
      </w:r>
      <w:r>
        <w:tab/>
      </w:r>
      <w:r w:rsidR="001F709D" w:rsidRPr="260259B2">
        <w:rPr>
          <w:rFonts w:ascii="Arial" w:eastAsia="MS Mincho" w:hAnsi="Arial" w:cs="Arial"/>
          <w:b/>
          <w:bCs/>
          <w:sz w:val="24"/>
          <w:szCs w:val="24"/>
        </w:rPr>
        <w:t>8.8.</w:t>
      </w:r>
      <w:r w:rsidR="2018AE25" w:rsidRPr="260259B2">
        <w:rPr>
          <w:rFonts w:ascii="Arial" w:eastAsia="MS Mincho" w:hAnsi="Arial" w:cs="Arial"/>
          <w:b/>
          <w:bCs/>
          <w:sz w:val="24"/>
          <w:szCs w:val="24"/>
        </w:rPr>
        <w:t>6</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7F11A57B"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175E6">
        <w:rPr>
          <w:rFonts w:ascii="Arial" w:eastAsia="Times New Roman" w:hAnsi="Arial" w:cs="Arial"/>
          <w:b/>
          <w:bCs/>
          <w:sz w:val="24"/>
        </w:rPr>
        <w:t xml:space="preserve">Idle mode mobility from </w:t>
      </w:r>
      <w:r w:rsidR="00E51260">
        <w:rPr>
          <w:rFonts w:ascii="Arial" w:eastAsia="Times New Roman" w:hAnsi="Arial" w:cs="Arial"/>
          <w:b/>
          <w:bCs/>
          <w:sz w:val="24"/>
        </w:rPr>
        <w:t>LTE to NR NTN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709C27CB" w14:textId="45C05CA4" w:rsidR="004B6A20" w:rsidRDefault="00905F05" w:rsidP="00BC4C81">
      <w:pPr>
        <w:pStyle w:val="B1"/>
        <w:ind w:left="0" w:firstLine="0"/>
      </w:pPr>
      <w:r w:rsidRPr="0069AEF5">
        <w:t>In RAN WID [1], following is the objective specified for the MBS broadcast.</w:t>
      </w:r>
    </w:p>
    <w:p w14:paraId="1A045869" w14:textId="77777777" w:rsidR="00BD6C3C" w:rsidRPr="00BD6C3C" w:rsidRDefault="00BD6C3C" w:rsidP="00BD6C3C">
      <w:pPr>
        <w:spacing w:after="0" w:line="276" w:lineRule="auto"/>
        <w:ind w:left="360"/>
        <w:rPr>
          <w:bCs/>
          <w:i/>
          <w:iCs/>
        </w:rPr>
      </w:pPr>
      <w:r w:rsidRPr="00BD6C3C">
        <w:rPr>
          <w:bCs/>
          <w:i/>
          <w:iCs/>
        </w:rPr>
        <w:t>The</w:t>
      </w:r>
      <w:r w:rsidRPr="00BD6C3C">
        <w:rPr>
          <w:rFonts w:hint="eastAsia"/>
          <w:bCs/>
          <w:i/>
          <w:iCs/>
        </w:rPr>
        <w:t xml:space="preserve"> </w:t>
      </w:r>
      <w:r w:rsidRPr="00BD6C3C">
        <w:rPr>
          <w:rFonts w:hint="eastAsia"/>
          <w:bCs/>
          <w:i/>
          <w:iCs/>
          <w:lang w:eastAsia="zh-CN"/>
        </w:rPr>
        <w:t xml:space="preserve">work item aims </w:t>
      </w:r>
      <w:r w:rsidRPr="00BD6C3C">
        <w:rPr>
          <w:bCs/>
          <w:i/>
          <w:iCs/>
          <w:lang w:eastAsia="zh-CN"/>
        </w:rPr>
        <w:t>at</w:t>
      </w:r>
      <w:r w:rsidRPr="00BD6C3C">
        <w:rPr>
          <w:rFonts w:hint="eastAsia"/>
          <w:bCs/>
          <w:i/>
          <w:iCs/>
          <w:lang w:eastAsia="zh-CN"/>
        </w:rPr>
        <w:t xml:space="preserve"> </w:t>
      </w:r>
      <w:r w:rsidRPr="00BD6C3C">
        <w:rPr>
          <w:bCs/>
          <w:i/>
          <w:iCs/>
          <w:lang w:eastAsia="zh-CN"/>
        </w:rPr>
        <w:t xml:space="preserve">specifying </w:t>
      </w:r>
      <w:r w:rsidRPr="00BD6C3C">
        <w:rPr>
          <w:rFonts w:hint="eastAsia"/>
          <w:bCs/>
          <w:i/>
          <w:iCs/>
          <w:lang w:eastAsia="zh-CN"/>
        </w:rPr>
        <w:t>support</w:t>
      </w:r>
      <w:r w:rsidRPr="00BD6C3C">
        <w:rPr>
          <w:bCs/>
          <w:i/>
          <w:iCs/>
          <w:lang w:eastAsia="zh-CN"/>
        </w:rPr>
        <w:t xml:space="preserve"> for</w:t>
      </w:r>
      <w:r w:rsidRPr="00BD6C3C">
        <w:rPr>
          <w:rFonts w:hint="eastAsia"/>
          <w:bCs/>
          <w:i/>
          <w:iCs/>
          <w:lang w:eastAsia="zh-CN"/>
        </w:rPr>
        <w:t xml:space="preserve"> the following </w:t>
      </w:r>
      <w:r w:rsidRPr="00BD6C3C">
        <w:rPr>
          <w:bCs/>
          <w:i/>
          <w:iCs/>
        </w:rPr>
        <w:t>objectives:</w:t>
      </w:r>
    </w:p>
    <w:p w14:paraId="33C07974" w14:textId="77777777" w:rsidR="00BD6C3C" w:rsidRPr="00BD6C3C" w:rsidRDefault="00BD6C3C" w:rsidP="00BD6C3C">
      <w:pPr>
        <w:pStyle w:val="ListParagraph"/>
        <w:widowControl w:val="0"/>
        <w:numPr>
          <w:ilvl w:val="0"/>
          <w:numId w:val="24"/>
        </w:numPr>
        <w:spacing w:after="0" w:line="276" w:lineRule="auto"/>
        <w:ind w:left="1080"/>
        <w:jc w:val="both"/>
        <w:rPr>
          <w:i/>
          <w:iCs/>
        </w:rPr>
      </w:pPr>
      <w:r w:rsidRPr="00BD6C3C">
        <w:rPr>
          <w:i/>
          <w:iCs/>
        </w:rPr>
        <w:t xml:space="preserve">idle mode mobility based on cell reselection from E-UTRA TN to NR NTN, where E-UTRA TN provides satellite information for NR NTN </w:t>
      </w:r>
      <w:proofErr w:type="spellStart"/>
      <w:r w:rsidRPr="00BD6C3C">
        <w:rPr>
          <w:i/>
          <w:iCs/>
        </w:rPr>
        <w:t>neighbor</w:t>
      </w:r>
      <w:proofErr w:type="spellEnd"/>
      <w:r w:rsidRPr="00BD6C3C">
        <w:rPr>
          <w:i/>
          <w:iCs/>
        </w:rPr>
        <w:t xml:space="preserve"> cells in a System Information Block.</w:t>
      </w:r>
      <w:r w:rsidRPr="00BD6C3C">
        <w:rPr>
          <w:rFonts w:hint="eastAsia"/>
          <w:i/>
          <w:iCs/>
        </w:rPr>
        <w:t xml:space="preserve"> </w:t>
      </w:r>
      <w:r w:rsidRPr="00BD6C3C">
        <w:rPr>
          <w:i/>
          <w:iCs/>
        </w:rPr>
        <w:t>[RAN2</w:t>
      </w:r>
      <w:r w:rsidRPr="00BD6C3C">
        <w:rPr>
          <w:rFonts w:hint="eastAsia"/>
          <w:i/>
          <w:iCs/>
        </w:rPr>
        <w:t>]</w:t>
      </w:r>
    </w:p>
    <w:p w14:paraId="7A0031A7" w14:textId="77777777" w:rsidR="00BD6C3C" w:rsidRPr="00BD6C3C" w:rsidRDefault="00BD6C3C" w:rsidP="00BD6C3C">
      <w:pPr>
        <w:pStyle w:val="ListParagraph"/>
        <w:widowControl w:val="0"/>
        <w:spacing w:after="0"/>
        <w:ind w:left="360"/>
        <w:jc w:val="both"/>
        <w:rPr>
          <w:i/>
          <w:iCs/>
        </w:rPr>
      </w:pPr>
    </w:p>
    <w:p w14:paraId="16E30A0B" w14:textId="77777777" w:rsidR="00BD6C3C" w:rsidRPr="00BD6C3C" w:rsidRDefault="00BD6C3C" w:rsidP="00BD6C3C">
      <w:pPr>
        <w:pStyle w:val="ListParagraph"/>
        <w:widowControl w:val="0"/>
        <w:spacing w:after="0"/>
        <w:ind w:left="360"/>
        <w:jc w:val="both"/>
        <w:rPr>
          <w:i/>
          <w:iCs/>
        </w:rPr>
      </w:pPr>
      <w:r w:rsidRPr="00BD6C3C">
        <w:rPr>
          <w:i/>
          <w:iCs/>
        </w:rPr>
        <w:t xml:space="preserve">Note: </w:t>
      </w:r>
    </w:p>
    <w:p w14:paraId="1F04FA46" w14:textId="77777777" w:rsidR="00BD6C3C" w:rsidRPr="00BD6C3C" w:rsidRDefault="00BD6C3C" w:rsidP="00BD6C3C">
      <w:pPr>
        <w:pStyle w:val="ListParagraph"/>
        <w:widowControl w:val="0"/>
        <w:numPr>
          <w:ilvl w:val="0"/>
          <w:numId w:val="27"/>
        </w:numPr>
        <w:spacing w:after="0" w:line="276" w:lineRule="auto"/>
        <w:ind w:left="1080"/>
        <w:jc w:val="both"/>
        <w:rPr>
          <w:i/>
          <w:iCs/>
        </w:rPr>
      </w:pPr>
      <w:r w:rsidRPr="00BD6C3C">
        <w:rPr>
          <w:i/>
          <w:iCs/>
        </w:rPr>
        <w:t xml:space="preserve">The solutions shall be reusing the existing </w:t>
      </w:r>
      <w:proofErr w:type="spellStart"/>
      <w:r w:rsidRPr="00BD6C3C">
        <w:rPr>
          <w:i/>
          <w:iCs/>
        </w:rPr>
        <w:t>signaling</w:t>
      </w:r>
      <w:proofErr w:type="spellEnd"/>
      <w:r w:rsidRPr="00BD6C3C">
        <w:rPr>
          <w:i/>
          <w:iCs/>
        </w:rPr>
        <w:t xml:space="preserve"> introduced for IoT-NTN and mobility procedures between NR TN and NR NTN to the maximum extent.</w:t>
      </w:r>
    </w:p>
    <w:p w14:paraId="72368B46" w14:textId="77777777" w:rsidR="00905F05" w:rsidRDefault="00905F05" w:rsidP="00BC4C81">
      <w:pPr>
        <w:pStyle w:val="B1"/>
        <w:ind w:left="0" w:firstLine="0"/>
      </w:pPr>
    </w:p>
    <w:p w14:paraId="52317F18" w14:textId="62583195" w:rsidR="007064FB" w:rsidRDefault="00661AB9" w:rsidP="00BC4C81">
      <w:pPr>
        <w:pStyle w:val="B1"/>
        <w:ind w:left="0" w:firstLine="0"/>
      </w:pPr>
      <w:r w:rsidRPr="0069AEF5">
        <w:t xml:space="preserve">In this document, we discuss the </w:t>
      </w:r>
      <w:r w:rsidR="00332E7C" w:rsidRPr="0069AEF5">
        <w:t>scope clarification</w:t>
      </w:r>
      <w:r w:rsidR="00BD1CDB" w:rsidRPr="0069AEF5">
        <w:t xml:space="preserve"> and possible </w:t>
      </w:r>
      <w:proofErr w:type="spellStart"/>
      <w:r w:rsidR="00BD1CDB" w:rsidRPr="0069AEF5">
        <w:t>signaling</w:t>
      </w:r>
      <w:proofErr w:type="spellEnd"/>
      <w:r w:rsidR="00BD1CDB" w:rsidRPr="0069AEF5">
        <w:t xml:space="preserve"> options.</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63505C4E" w14:textId="753E4674" w:rsidR="0086117A" w:rsidRDefault="00122E7F" w:rsidP="00453B12">
      <w:r>
        <w:t xml:space="preserve">In RAN2#124 meeting, following agreements were made for a TN cell </w:t>
      </w:r>
      <w:proofErr w:type="gramStart"/>
      <w:r>
        <w:t>providing assistance</w:t>
      </w:r>
      <w:proofErr w:type="gramEnd"/>
      <w:r>
        <w:t xml:space="preserve"> information of NTN </w:t>
      </w:r>
      <w:proofErr w:type="spellStart"/>
      <w:r w:rsidR="00412AC9">
        <w:t>neighbor</w:t>
      </w:r>
      <w:proofErr w:type="spellEnd"/>
      <w:r w:rsidR="00412AC9">
        <w:t xml:space="preserve"> </w:t>
      </w:r>
      <w:r>
        <w:t>cell</w:t>
      </w:r>
      <w:r w:rsidR="00412AC9">
        <w:t>s</w:t>
      </w:r>
      <w:r>
        <w:t>.</w:t>
      </w:r>
    </w:p>
    <w:p w14:paraId="7983510B" w14:textId="77777777" w:rsidR="00122E7F" w:rsidRDefault="00122E7F" w:rsidP="00122E7F">
      <w:pPr>
        <w:pStyle w:val="Doc-text2"/>
        <w:pBdr>
          <w:top w:val="single" w:sz="4" w:space="1" w:color="auto"/>
          <w:left w:val="single" w:sz="4" w:space="4" w:color="auto"/>
          <w:bottom w:val="single" w:sz="4" w:space="1" w:color="auto"/>
          <w:right w:val="single" w:sz="4" w:space="4" w:color="auto"/>
        </w:pBdr>
      </w:pPr>
      <w:r>
        <w:t>Agreements:</w:t>
      </w:r>
    </w:p>
    <w:p w14:paraId="3DC8FE25" w14:textId="77777777" w:rsidR="00122E7F" w:rsidRDefault="00122E7F" w:rsidP="0069AEF5">
      <w:pPr>
        <w:pStyle w:val="Doc-text2"/>
        <w:numPr>
          <w:ilvl w:val="0"/>
          <w:numId w:val="28"/>
        </w:numPr>
        <w:pBdr>
          <w:top w:val="single" w:sz="4" w:space="1" w:color="auto"/>
          <w:left w:val="single" w:sz="4" w:space="4" w:color="auto"/>
          <w:bottom w:val="single" w:sz="4" w:space="1" w:color="auto"/>
          <w:right w:val="single" w:sz="4" w:space="4" w:color="auto"/>
        </w:pBdr>
      </w:pPr>
      <w:r w:rsidRPr="0069AEF5">
        <w:t>SIB19 can be broadcast in TN cells to provide satellite assistance information for NTN neighbour cells (e.g., ntn-NeighCellConfigList-r17).</w:t>
      </w:r>
    </w:p>
    <w:p w14:paraId="62CAAD14" w14:textId="77777777" w:rsidR="00122E7F" w:rsidRDefault="00122E7F" w:rsidP="0069AEF5">
      <w:pPr>
        <w:pStyle w:val="Doc-text2"/>
        <w:numPr>
          <w:ilvl w:val="0"/>
          <w:numId w:val="28"/>
        </w:numPr>
        <w:pBdr>
          <w:top w:val="single" w:sz="4" w:space="1" w:color="auto"/>
          <w:left w:val="single" w:sz="4" w:space="4" w:color="auto"/>
          <w:bottom w:val="single" w:sz="4" w:space="1" w:color="auto"/>
          <w:right w:val="single" w:sz="4" w:space="4" w:color="auto"/>
        </w:pBdr>
      </w:pPr>
      <w:r w:rsidRPr="0069AEF5">
        <w:t>SIB19 is not an essential SIB when provided in a TN serving cell, i.e. UE does not consider the TN serving cell as barred if it fails to acquire SIB19 (no spec impact)</w:t>
      </w:r>
    </w:p>
    <w:p w14:paraId="145EB7BA" w14:textId="77777777" w:rsidR="00122E7F" w:rsidRDefault="00122E7F" w:rsidP="0069AEF5">
      <w:pPr>
        <w:pStyle w:val="Doc-text2"/>
        <w:numPr>
          <w:ilvl w:val="0"/>
          <w:numId w:val="28"/>
        </w:numPr>
        <w:pBdr>
          <w:top w:val="single" w:sz="4" w:space="1" w:color="auto"/>
          <w:left w:val="single" w:sz="4" w:space="4" w:color="auto"/>
          <w:bottom w:val="single" w:sz="4" w:space="1" w:color="auto"/>
          <w:right w:val="single" w:sz="4" w:space="4" w:color="auto"/>
        </w:pBdr>
      </w:pPr>
      <w:r w:rsidRPr="0069AEF5">
        <w:t>UE in RRC_IDLE/INACTIVE is not required to ensure having a valid version of SIB19 in a TN serving cell (no spec impact)</w:t>
      </w:r>
    </w:p>
    <w:p w14:paraId="10BB1DC9" w14:textId="77777777" w:rsidR="00122E7F" w:rsidRDefault="00122E7F" w:rsidP="00122E7F">
      <w:pPr>
        <w:pStyle w:val="Doc-text2"/>
        <w:numPr>
          <w:ilvl w:val="0"/>
          <w:numId w:val="28"/>
        </w:numPr>
        <w:pBdr>
          <w:top w:val="single" w:sz="4" w:space="1" w:color="auto"/>
          <w:left w:val="single" w:sz="4" w:space="4" w:color="auto"/>
          <w:bottom w:val="single" w:sz="4" w:space="1" w:color="auto"/>
          <w:right w:val="single" w:sz="4" w:space="4" w:color="auto"/>
        </w:pBdr>
      </w:pPr>
      <w:r>
        <w:t>The exact time of reacquiring SIB19 for UE in RRC_IDLE/INACTIVE in TN serving cell is up to UE implementation (no spec impact)</w:t>
      </w:r>
    </w:p>
    <w:p w14:paraId="757258DF" w14:textId="77777777" w:rsidR="00122E7F" w:rsidRDefault="00122E7F" w:rsidP="0069AEF5">
      <w:pPr>
        <w:pStyle w:val="Doc-text2"/>
        <w:numPr>
          <w:ilvl w:val="0"/>
          <w:numId w:val="28"/>
        </w:numPr>
        <w:pBdr>
          <w:top w:val="single" w:sz="4" w:space="1" w:color="auto"/>
          <w:left w:val="single" w:sz="4" w:space="4" w:color="auto"/>
          <w:bottom w:val="single" w:sz="4" w:space="1" w:color="auto"/>
          <w:right w:val="single" w:sz="4" w:space="4" w:color="auto"/>
        </w:pBdr>
      </w:pPr>
      <w:r w:rsidRPr="0069AEF5">
        <w:t xml:space="preserve">UE in RRC_CONNECTED does not start T430 when SIB19 is provided in a TN cell (consider clarifying “Upon receiving SIB19 </w:t>
      </w:r>
      <w:r w:rsidRPr="0069AEF5">
        <w:rPr>
          <w:u w:val="single"/>
        </w:rPr>
        <w:t xml:space="preserve">in </w:t>
      </w:r>
      <w:proofErr w:type="gramStart"/>
      <w:r w:rsidRPr="0069AEF5">
        <w:rPr>
          <w:u w:val="single"/>
        </w:rPr>
        <w:t>a</w:t>
      </w:r>
      <w:proofErr w:type="gramEnd"/>
      <w:r w:rsidRPr="0069AEF5">
        <w:rPr>
          <w:u w:val="single"/>
        </w:rPr>
        <w:t xml:space="preserve"> NTN cell</w:t>
      </w:r>
      <w:r w:rsidRPr="0069AEF5">
        <w:t xml:space="preserve"> …” in 5.2.2.4.21)</w:t>
      </w:r>
    </w:p>
    <w:p w14:paraId="3EC84D56" w14:textId="77777777" w:rsidR="00122E7F" w:rsidRDefault="00122E7F" w:rsidP="0069AEF5">
      <w:pPr>
        <w:pStyle w:val="Doc-text2"/>
        <w:numPr>
          <w:ilvl w:val="0"/>
          <w:numId w:val="28"/>
        </w:numPr>
        <w:pBdr>
          <w:top w:val="single" w:sz="4" w:space="1" w:color="auto"/>
          <w:left w:val="single" w:sz="4" w:space="4" w:color="auto"/>
          <w:bottom w:val="single" w:sz="4" w:space="1" w:color="auto"/>
          <w:right w:val="single" w:sz="4" w:space="4" w:color="auto"/>
        </w:pBdr>
      </w:pPr>
      <w:r w:rsidRPr="0069AEF5">
        <w:t>The SFN and subframe numbers of epoch time indicated in SIB19 in TN serving cell are based on the timing of the serving cell (no spec impact)</w:t>
      </w:r>
    </w:p>
    <w:p w14:paraId="254BAC7E" w14:textId="77777777" w:rsidR="00122E7F" w:rsidRDefault="00122E7F" w:rsidP="0069AEF5">
      <w:pPr>
        <w:pStyle w:val="Doc-text2"/>
        <w:numPr>
          <w:ilvl w:val="0"/>
          <w:numId w:val="28"/>
        </w:numPr>
        <w:pBdr>
          <w:top w:val="single" w:sz="4" w:space="1" w:color="auto"/>
          <w:left w:val="single" w:sz="4" w:space="4" w:color="auto"/>
          <w:bottom w:val="single" w:sz="4" w:space="1" w:color="auto"/>
          <w:right w:val="single" w:sz="4" w:space="4" w:color="auto"/>
        </w:pBdr>
      </w:pPr>
      <w:r w:rsidRPr="0069AEF5">
        <w:t>If the epoch time indicated in SIB19 in TN serving cell is absent, UE considers the epoch time as the end of SI window where this SIB19 is scheduled in the TN serving cell (no spec impact).</w:t>
      </w:r>
    </w:p>
    <w:p w14:paraId="632525DA" w14:textId="77777777" w:rsidR="00122E7F" w:rsidRDefault="00122E7F" w:rsidP="0069AEF5">
      <w:pPr>
        <w:pStyle w:val="Doc-text2"/>
        <w:numPr>
          <w:ilvl w:val="0"/>
          <w:numId w:val="28"/>
        </w:numPr>
        <w:pBdr>
          <w:top w:val="single" w:sz="4" w:space="1" w:color="auto"/>
          <w:left w:val="single" w:sz="4" w:space="4" w:color="auto"/>
          <w:bottom w:val="single" w:sz="4" w:space="1" w:color="auto"/>
          <w:right w:val="single" w:sz="4" w:space="4" w:color="auto"/>
        </w:pBdr>
      </w:pPr>
      <w:r w:rsidRPr="0069AEF5">
        <w:t xml:space="preserve">If the validity duration indicated in SIB19 in TN serving cell is absent, the UE follows R17 behaviour (left </w:t>
      </w:r>
      <w:proofErr w:type="gramStart"/>
      <w:r w:rsidRPr="0069AEF5">
        <w:t>to</w:t>
      </w:r>
      <w:proofErr w:type="gramEnd"/>
      <w:r w:rsidRPr="0069AEF5">
        <w:t xml:space="preserve"> UE implementation) (no spec impact)</w:t>
      </w:r>
    </w:p>
    <w:p w14:paraId="00AFF62A" w14:textId="77777777" w:rsidR="00122E7F" w:rsidRDefault="00122E7F" w:rsidP="00453B12"/>
    <w:p w14:paraId="0A71A79B" w14:textId="2D05181B" w:rsidR="00383210" w:rsidRDefault="00383210" w:rsidP="00122E7F">
      <w:r>
        <w:t>Similarly following agreement was also made regarding</w:t>
      </w:r>
      <w:r w:rsidR="00BF2E0A">
        <w:t xml:space="preserve"> EUTRA NTN assistance information.</w:t>
      </w:r>
    </w:p>
    <w:p w14:paraId="1D202CA7" w14:textId="77777777" w:rsidR="00BF711E" w:rsidRDefault="00BF711E" w:rsidP="00BF711E">
      <w:pPr>
        <w:pStyle w:val="Doc-text2"/>
        <w:pBdr>
          <w:top w:val="single" w:sz="4" w:space="1" w:color="auto"/>
          <w:left w:val="single" w:sz="4" w:space="4" w:color="auto"/>
          <w:bottom w:val="single" w:sz="4" w:space="1" w:color="auto"/>
          <w:right w:val="single" w:sz="4" w:space="4" w:color="auto"/>
        </w:pBdr>
      </w:pPr>
      <w:proofErr w:type="gramStart"/>
      <w:r>
        <w:t>Agreements;</w:t>
      </w:r>
      <w:proofErr w:type="gramEnd"/>
    </w:p>
    <w:p w14:paraId="2EC60F3B" w14:textId="77777777" w:rsidR="00BF711E" w:rsidRDefault="00BF711E" w:rsidP="0069AEF5">
      <w:pPr>
        <w:pStyle w:val="Doc-text2"/>
        <w:numPr>
          <w:ilvl w:val="0"/>
          <w:numId w:val="30"/>
        </w:numPr>
        <w:pBdr>
          <w:top w:val="single" w:sz="4" w:space="1" w:color="auto"/>
          <w:left w:val="single" w:sz="4" w:space="4" w:color="auto"/>
          <w:bottom w:val="single" w:sz="4" w:space="1" w:color="auto"/>
          <w:right w:val="single" w:sz="4" w:space="4" w:color="auto"/>
        </w:pBdr>
      </w:pPr>
      <w:r w:rsidRPr="0069AEF5">
        <w:t xml:space="preserve">We introduce the possibility to broadcast </w:t>
      </w:r>
      <w:proofErr w:type="spellStart"/>
      <w:r w:rsidRPr="0069AEF5">
        <w:t>neighbor</w:t>
      </w:r>
      <w:proofErr w:type="spellEnd"/>
      <w:r w:rsidRPr="0069AEF5">
        <w:t xml:space="preserve"> NTN cell information (SIBXX) in a TN cell (We remove the restriction in 36.331 that SIBXX can only be sent in </w:t>
      </w:r>
      <w:proofErr w:type="gramStart"/>
      <w:r w:rsidRPr="0069AEF5">
        <w:t>a</w:t>
      </w:r>
      <w:proofErr w:type="gramEnd"/>
      <w:r w:rsidRPr="0069AEF5">
        <w:t xml:space="preserve"> NTN cell. No changes expected to other Stage 3 specs)</w:t>
      </w:r>
    </w:p>
    <w:p w14:paraId="756941B3" w14:textId="77777777" w:rsidR="00BF2E0A" w:rsidRDefault="00BF2E0A" w:rsidP="00122E7F"/>
    <w:p w14:paraId="27AAAA0C" w14:textId="2BD8C4AB" w:rsidR="0086117A" w:rsidRDefault="00412AC9" w:rsidP="00122E7F">
      <w:r>
        <w:lastRenderedPageBreak/>
        <w:t xml:space="preserve">As we can see the scope was only for NR TN cell </w:t>
      </w:r>
      <w:proofErr w:type="gramStart"/>
      <w:r>
        <w:t>providing assistance</w:t>
      </w:r>
      <w:proofErr w:type="gramEnd"/>
      <w:r>
        <w:t xml:space="preserve"> information of NR NTN </w:t>
      </w:r>
      <w:proofErr w:type="spellStart"/>
      <w:r>
        <w:t>neighbor</w:t>
      </w:r>
      <w:proofErr w:type="spellEnd"/>
      <w:r>
        <w:t xml:space="preserve"> cell.</w:t>
      </w:r>
      <w:r w:rsidR="00CA6CA4">
        <w:t xml:space="preserve"> Still, </w:t>
      </w:r>
      <w:r w:rsidR="007F0937">
        <w:t xml:space="preserve">the </w:t>
      </w:r>
      <w:r w:rsidR="00CA6CA4">
        <w:t>following assistance information is missing.</w:t>
      </w:r>
    </w:p>
    <w:p w14:paraId="42214196" w14:textId="6EAC7FA3" w:rsidR="00CA6CA4" w:rsidRDefault="00CA6CA4" w:rsidP="00CA6CA4">
      <w:pPr>
        <w:pStyle w:val="ListParagraph"/>
        <w:numPr>
          <w:ilvl w:val="0"/>
          <w:numId w:val="29"/>
        </w:numPr>
      </w:pPr>
      <w:r>
        <w:t>NR TN</w:t>
      </w:r>
      <w:r w:rsidR="00720073">
        <w:t>/NTN</w:t>
      </w:r>
      <w:r>
        <w:t xml:space="preserve"> cell </w:t>
      </w:r>
      <w:proofErr w:type="gramStart"/>
      <w:r>
        <w:t>providing assistance</w:t>
      </w:r>
      <w:proofErr w:type="gramEnd"/>
      <w:r>
        <w:t xml:space="preserve"> information of EUTRA NTN</w:t>
      </w:r>
      <w:r w:rsidR="00C54AA0">
        <w:t xml:space="preserve"> </w:t>
      </w:r>
      <w:proofErr w:type="spellStart"/>
      <w:r w:rsidR="00C54AA0">
        <w:t>neighbor</w:t>
      </w:r>
      <w:proofErr w:type="spellEnd"/>
      <w:r w:rsidR="00C54AA0">
        <w:t xml:space="preserve"> cell</w:t>
      </w:r>
      <w:r w:rsidR="0009044F">
        <w:t xml:space="preserve">, i.e., </w:t>
      </w:r>
      <w:r w:rsidR="00BF711E">
        <w:t xml:space="preserve">LTE </w:t>
      </w:r>
      <w:r w:rsidR="0009044F">
        <w:t>SIB</w:t>
      </w:r>
      <w:r w:rsidR="00BF711E">
        <w:t>33</w:t>
      </w:r>
    </w:p>
    <w:p w14:paraId="5C368EE0" w14:textId="784030C6" w:rsidR="00C54AA0" w:rsidRDefault="00C54AA0" w:rsidP="00CA6CA4">
      <w:pPr>
        <w:pStyle w:val="ListParagraph"/>
        <w:numPr>
          <w:ilvl w:val="0"/>
          <w:numId w:val="29"/>
        </w:numPr>
      </w:pPr>
      <w:r>
        <w:t>EUTRA TN</w:t>
      </w:r>
      <w:r w:rsidR="00720073">
        <w:t>/NTN</w:t>
      </w:r>
      <w:r>
        <w:t xml:space="preserve"> cell </w:t>
      </w:r>
      <w:proofErr w:type="gramStart"/>
      <w:r>
        <w:t>providing assistance</w:t>
      </w:r>
      <w:proofErr w:type="gramEnd"/>
      <w:r>
        <w:t xml:space="preserve"> information of </w:t>
      </w:r>
      <w:r w:rsidR="00BF711E">
        <w:t>NR</w:t>
      </w:r>
      <w:r>
        <w:t xml:space="preserve"> NTN </w:t>
      </w:r>
      <w:proofErr w:type="spellStart"/>
      <w:r>
        <w:t>neighbor</w:t>
      </w:r>
      <w:proofErr w:type="spellEnd"/>
      <w:r>
        <w:t xml:space="preserve"> cell</w:t>
      </w:r>
      <w:r w:rsidR="0009044F">
        <w:t xml:space="preserve">, i.e., </w:t>
      </w:r>
      <w:r w:rsidR="00BF711E">
        <w:t>NR SIB19</w:t>
      </w:r>
    </w:p>
    <w:p w14:paraId="28B86C3E" w14:textId="5EF57613" w:rsidR="000A3700" w:rsidRDefault="00BF4DF7" w:rsidP="00165863">
      <w:r>
        <w:t xml:space="preserve">However, </w:t>
      </w:r>
      <w:r w:rsidR="00313346">
        <w:t>the first case, i.e.,</w:t>
      </w:r>
      <w:r w:rsidR="00CC4614">
        <w:t xml:space="preserve"> NR TN cell </w:t>
      </w:r>
      <w:proofErr w:type="gramStart"/>
      <w:r w:rsidR="00CC4614">
        <w:t xml:space="preserve">providing </w:t>
      </w:r>
      <w:r w:rsidR="00CC4614" w:rsidRPr="00CC4614">
        <w:t>assistance</w:t>
      </w:r>
      <w:proofErr w:type="gramEnd"/>
      <w:r w:rsidR="00CC4614" w:rsidRPr="00CC4614">
        <w:t xml:space="preserve"> information of EUTRA NTN </w:t>
      </w:r>
      <w:proofErr w:type="spellStart"/>
      <w:r w:rsidR="00CC4614" w:rsidRPr="00CC4614">
        <w:t>neighbor</w:t>
      </w:r>
      <w:proofErr w:type="spellEnd"/>
      <w:r w:rsidR="00CC4614" w:rsidRPr="00CC4614">
        <w:t xml:space="preserve"> cell, i.e., LTE SIB33</w:t>
      </w:r>
      <w:r w:rsidR="00CC4614">
        <w:t xml:space="preserve"> is not in scope.</w:t>
      </w:r>
      <w:r w:rsidR="00E34636">
        <w:t xml:space="preserve"> The one reason could be that</w:t>
      </w:r>
      <w:r w:rsidR="00273E6C">
        <w:t xml:space="preserve"> use case is not very strong as</w:t>
      </w:r>
      <w:r w:rsidR="00E34636">
        <w:t xml:space="preserve"> current EUTRA NTN is supported only for EPC and only</w:t>
      </w:r>
      <w:r w:rsidR="001E606C">
        <w:t xml:space="preserve"> applicable to </w:t>
      </w:r>
      <w:proofErr w:type="spellStart"/>
      <w:r w:rsidR="001E606C">
        <w:t>eMTC</w:t>
      </w:r>
      <w:proofErr w:type="spellEnd"/>
      <w:r w:rsidR="001E606C">
        <w:t xml:space="preserve"> and NB-IoT UEs.</w:t>
      </w:r>
    </w:p>
    <w:p w14:paraId="6B7E0E30" w14:textId="1F40CF20" w:rsidR="00313346" w:rsidRDefault="00313346" w:rsidP="00165863">
      <w:r>
        <w:t>For the second case as per WID objective</w:t>
      </w:r>
      <w:r w:rsidR="00264E10">
        <w:t xml:space="preserve"> an EUTRA terrestrial network cell</w:t>
      </w:r>
      <w:r w:rsidR="00290971">
        <w:t xml:space="preserve"> is supposed to broadcast the satellite information, carrier frequency etc.</w:t>
      </w:r>
      <w:r w:rsidR="00965A56">
        <w:t xml:space="preserve"> which provide the NR NTN coverage in the UE’s service area.</w:t>
      </w:r>
      <w:r w:rsidR="007D7E14">
        <w:t xml:space="preserve"> Then when a</w:t>
      </w:r>
      <w:r w:rsidR="008937F1">
        <w:t xml:space="preserve"> UE (either EUTRA or NR) is out of TN coverage</w:t>
      </w:r>
      <w:r w:rsidR="00BE7C3E">
        <w:t>, it can use the information to find the NR NTN cell given the UE is NR capable.</w:t>
      </w:r>
    </w:p>
    <w:p w14:paraId="670A6688" w14:textId="5A1ADEC6" w:rsidR="00630262" w:rsidRDefault="00630262" w:rsidP="00165863">
      <w:r>
        <w:t xml:space="preserve">Before discussing the stage 3 details on </w:t>
      </w:r>
      <w:proofErr w:type="spellStart"/>
      <w:r>
        <w:t>signaling</w:t>
      </w:r>
      <w:proofErr w:type="spellEnd"/>
      <w:r>
        <w:t xml:space="preserve"> solutions, we would like to clarify </w:t>
      </w:r>
      <w:r w:rsidR="00FC07AA">
        <w:t>the scope of the objectives.</w:t>
      </w:r>
    </w:p>
    <w:p w14:paraId="632142F7" w14:textId="06839DBC" w:rsidR="00CC3A64" w:rsidRPr="000335A2" w:rsidRDefault="003D22C6" w:rsidP="00165863">
      <w:pPr>
        <w:rPr>
          <w:b/>
          <w:bCs/>
          <w:u w:val="single"/>
        </w:rPr>
      </w:pPr>
      <w:r w:rsidRPr="000335A2">
        <w:rPr>
          <w:b/>
          <w:bCs/>
          <w:u w:val="single"/>
        </w:rPr>
        <w:t>EUTRA UE categories</w:t>
      </w:r>
    </w:p>
    <w:p w14:paraId="35A04B77" w14:textId="6CC1C915" w:rsidR="006525B9" w:rsidRDefault="003D22C6" w:rsidP="00165863">
      <w:r>
        <w:t>Currently</w:t>
      </w:r>
      <w:r w:rsidR="001348AC">
        <w:t xml:space="preserve"> the non-Cat M UEs (i.e., UE in CE) which has capability to operate in coverage enhancement mode can also support IoT NTN</w:t>
      </w:r>
      <w:r w:rsidR="0054064B">
        <w:t xml:space="preserve"> access</w:t>
      </w:r>
      <w:r w:rsidR="001348AC">
        <w:t>. These UEs are fully LTE capable UE and may also be capable of supporting NR.</w:t>
      </w:r>
      <w:r w:rsidR="00CF43D8">
        <w:t xml:space="preserve"> As per objective, </w:t>
      </w:r>
      <w:r w:rsidR="00680293">
        <w:t>UE type or category has not be</w:t>
      </w:r>
      <w:r w:rsidR="00903BE4">
        <w:t>en</w:t>
      </w:r>
      <w:r w:rsidR="00680293">
        <w:t xml:space="preserve"> specified.</w:t>
      </w:r>
      <w:r w:rsidR="00903BE4">
        <w:t xml:space="preserve"> </w:t>
      </w:r>
    </w:p>
    <w:p w14:paraId="79174900" w14:textId="309B1370" w:rsidR="005E0B20" w:rsidRDefault="006525B9" w:rsidP="00165863">
      <w:r>
        <w:t>Similarly</w:t>
      </w:r>
      <w:r w:rsidR="00260FAC">
        <w:t>,</w:t>
      </w:r>
      <w:r>
        <w:t xml:space="preserve"> there can </w:t>
      </w:r>
      <w:r w:rsidR="33F31266">
        <w:t xml:space="preserve">be </w:t>
      </w:r>
      <w:r>
        <w:t>dual mode UEs such as supporting NB-IoT mode and NR mode. When camping on NB-IoT mode, the UE may also obtain the</w:t>
      </w:r>
      <w:r w:rsidR="00D31168">
        <w:t xml:space="preserve"> assistance information</w:t>
      </w:r>
      <w:r w:rsidR="0B57725D">
        <w:t>.</w:t>
      </w:r>
      <w:r w:rsidR="00D31168">
        <w:t xml:space="preserve"> </w:t>
      </w:r>
      <w:r w:rsidR="1B1821FA">
        <w:t>W</w:t>
      </w:r>
      <w:r w:rsidR="00D31168">
        <w:t>hen</w:t>
      </w:r>
      <w:r w:rsidR="355DF634">
        <w:t xml:space="preserve"> it is</w:t>
      </w:r>
      <w:r w:rsidR="00D31168">
        <w:t xml:space="preserve"> in out of coverage and </w:t>
      </w:r>
      <w:r w:rsidR="461E714E">
        <w:t xml:space="preserve">may </w:t>
      </w:r>
      <w:r w:rsidR="00D31168">
        <w:t>decide to switch to NR mode</w:t>
      </w:r>
      <w:r w:rsidR="005E0B20">
        <w:t xml:space="preserve"> using the stored assistance information.</w:t>
      </w:r>
      <w:r w:rsidR="00663A25">
        <w:t xml:space="preserve"> </w:t>
      </w:r>
      <w:r w:rsidR="003A5879">
        <w:t>T</w:t>
      </w:r>
      <w:r w:rsidR="00663A25">
        <w:t xml:space="preserve">he NB-IoT RAT can also provide NR NTN assistance information </w:t>
      </w:r>
      <w:proofErr w:type="gramStart"/>
      <w:r w:rsidR="00987692">
        <w:t>similar to</w:t>
      </w:r>
      <w:proofErr w:type="gramEnd"/>
      <w:r w:rsidR="00BE0A04">
        <w:t xml:space="preserve"> </w:t>
      </w:r>
      <w:r w:rsidR="00663A25">
        <w:t xml:space="preserve">inter-RAT assistance information currently </w:t>
      </w:r>
      <w:r w:rsidR="0B86C4D4">
        <w:t xml:space="preserve">the NB-IoT RAT cell </w:t>
      </w:r>
      <w:r w:rsidR="00663A25">
        <w:t>broadcast</w:t>
      </w:r>
      <w:r w:rsidR="124DCBBB">
        <w:t>s</w:t>
      </w:r>
      <w:r w:rsidR="00663A25">
        <w:t xml:space="preserve"> in </w:t>
      </w:r>
      <w:r w:rsidR="00BE0A04" w:rsidRPr="5F28F256">
        <w:rPr>
          <w:i/>
          <w:iCs/>
        </w:rPr>
        <w:t>SystemInformationBlockType27-NB</w:t>
      </w:r>
      <w:r w:rsidR="00BE0A04">
        <w:t>.</w:t>
      </w:r>
    </w:p>
    <w:p w14:paraId="26B26C29" w14:textId="77777777" w:rsidR="00037B03" w:rsidRDefault="005E0B20" w:rsidP="00165863">
      <w:r>
        <w:t xml:space="preserve">Since the scope of objective is for IDLE mode mobility, </w:t>
      </w:r>
      <w:r w:rsidR="00037B03">
        <w:t>the above scenarios are possible, therefore, it should be clarified.</w:t>
      </w:r>
    </w:p>
    <w:p w14:paraId="77CF6968" w14:textId="3793DDBA" w:rsidR="003D22C6" w:rsidRDefault="00CF43D8" w:rsidP="000335A2">
      <w:pPr>
        <w:pStyle w:val="Proposal"/>
        <w:numPr>
          <w:ilvl w:val="0"/>
          <w:numId w:val="7"/>
        </w:numPr>
        <w:overflowPunct w:val="0"/>
        <w:autoSpaceDE w:val="0"/>
        <w:autoSpaceDN w:val="0"/>
        <w:adjustRightInd w:val="0"/>
        <w:spacing w:before="240" w:after="240" w:line="360" w:lineRule="auto"/>
        <w:contextualSpacing/>
        <w:textAlignment w:val="baseline"/>
      </w:pPr>
      <w:r>
        <w:t xml:space="preserve"> </w:t>
      </w:r>
      <w:bookmarkStart w:id="0" w:name="_Toc162695837"/>
      <w:bookmarkStart w:id="1" w:name="_Toc162695941"/>
      <w:bookmarkStart w:id="2" w:name="_Toc163143771"/>
      <w:bookmarkStart w:id="3" w:name="_Toc163145243"/>
      <w:bookmarkStart w:id="4" w:name="_Toc163145277"/>
      <w:r w:rsidR="000335A2">
        <w:t xml:space="preserve">Confirm normal LTE UE, non-Cat M UE, </w:t>
      </w:r>
      <w:proofErr w:type="spellStart"/>
      <w:r w:rsidR="000335A2">
        <w:t>eMTC</w:t>
      </w:r>
      <w:proofErr w:type="spellEnd"/>
      <w:r w:rsidR="000335A2">
        <w:t xml:space="preserve"> UE and NB-IoT UE are in scope.</w:t>
      </w:r>
      <w:bookmarkEnd w:id="0"/>
      <w:bookmarkEnd w:id="1"/>
      <w:bookmarkEnd w:id="2"/>
      <w:bookmarkEnd w:id="3"/>
      <w:bookmarkEnd w:id="4"/>
    </w:p>
    <w:p w14:paraId="1CB97D7A" w14:textId="301D0C18" w:rsidR="00BF711E" w:rsidRPr="004303BC" w:rsidRDefault="0071466D" w:rsidP="003A75B4">
      <w:pPr>
        <w:rPr>
          <w:b/>
          <w:bCs/>
          <w:u w:val="single"/>
        </w:rPr>
      </w:pPr>
      <w:r w:rsidRPr="004303BC">
        <w:rPr>
          <w:b/>
          <w:bCs/>
          <w:u w:val="single"/>
        </w:rPr>
        <w:t>ATG UE</w:t>
      </w:r>
    </w:p>
    <w:p w14:paraId="0CAC8165" w14:textId="687AA43B" w:rsidR="0071466D" w:rsidRDefault="00B06905" w:rsidP="003A75B4">
      <w:r>
        <w:t xml:space="preserve">Within NR NTN, </w:t>
      </w:r>
      <w:r w:rsidR="00E137D1">
        <w:t xml:space="preserve">support of </w:t>
      </w:r>
      <w:r>
        <w:t>ATG access is implicitly</w:t>
      </w:r>
      <w:r w:rsidR="00DB3CC8">
        <w:t xml:space="preserve"> understood</w:t>
      </w:r>
      <w:r w:rsidR="00AC04A9">
        <w:t xml:space="preserve"> as compatible</w:t>
      </w:r>
      <w:r w:rsidR="00DB3CC8">
        <w:t>, as shown below in WID [1].</w:t>
      </w:r>
    </w:p>
    <w:p w14:paraId="3C18D437" w14:textId="77777777" w:rsidR="00AC04A9" w:rsidRDefault="00AC04A9" w:rsidP="00AC04A9">
      <w:pPr>
        <w:pStyle w:val="Heading3"/>
        <w:ind w:left="1440"/>
        <w:rPr>
          <w:color w:val="0000FF"/>
        </w:rPr>
      </w:pPr>
      <w:r>
        <w:rPr>
          <w:color w:val="0000FF"/>
        </w:rPr>
        <w:t>4.1</w:t>
      </w:r>
      <w:r>
        <w:rPr>
          <w:color w:val="0000FF"/>
        </w:rPr>
        <w:tab/>
        <w:t>Objective of SI or Core part WI or Testing part WI</w:t>
      </w:r>
    </w:p>
    <w:p w14:paraId="1F921BE6" w14:textId="77777777" w:rsidR="00AC04A9" w:rsidRDefault="00AC04A9" w:rsidP="00AC04A9">
      <w:pPr>
        <w:spacing w:after="0" w:line="276" w:lineRule="auto"/>
        <w:ind w:left="1440"/>
        <w:rPr>
          <w:bCs/>
        </w:rPr>
      </w:pPr>
      <w:r>
        <w:rPr>
          <w:bCs/>
        </w:rPr>
        <w:t xml:space="preserve">The work item aims at specifying </w:t>
      </w:r>
      <w:r>
        <w:t>IDLE mode mobility from E-UTRA TN to NR NTN</w:t>
      </w:r>
      <w:r>
        <w:rPr>
          <w:bCs/>
        </w:rPr>
        <w:t xml:space="preserve"> with the following assumptions:</w:t>
      </w:r>
    </w:p>
    <w:p w14:paraId="4344F8D5" w14:textId="77777777" w:rsidR="00AC04A9" w:rsidRDefault="00AC04A9" w:rsidP="00AC04A9">
      <w:pPr>
        <w:numPr>
          <w:ilvl w:val="0"/>
          <w:numId w:val="32"/>
        </w:numPr>
        <w:overflowPunct w:val="0"/>
        <w:autoSpaceDE w:val="0"/>
        <w:autoSpaceDN w:val="0"/>
        <w:adjustRightInd w:val="0"/>
        <w:spacing w:after="0" w:line="276" w:lineRule="auto"/>
        <w:ind w:left="2160"/>
        <w:textAlignment w:val="baseline"/>
        <w:rPr>
          <w:bCs/>
        </w:rPr>
      </w:pPr>
      <w:r>
        <w:rPr>
          <w:bCs/>
        </w:rPr>
        <w:t xml:space="preserve">GSO (Geo Synchronous Orbit) and NGSO (Non-Geo Synchronous Orbit). </w:t>
      </w:r>
    </w:p>
    <w:p w14:paraId="480AD8A6" w14:textId="77777777" w:rsidR="00AC04A9" w:rsidRDefault="00AC04A9" w:rsidP="00AC04A9">
      <w:pPr>
        <w:numPr>
          <w:ilvl w:val="1"/>
          <w:numId w:val="32"/>
        </w:numPr>
        <w:overflowPunct w:val="0"/>
        <w:autoSpaceDE w:val="0"/>
        <w:autoSpaceDN w:val="0"/>
        <w:adjustRightInd w:val="0"/>
        <w:spacing w:after="0" w:line="276" w:lineRule="auto"/>
        <w:ind w:left="2880"/>
        <w:textAlignment w:val="baseline"/>
        <w:rPr>
          <w:bCs/>
        </w:rPr>
      </w:pPr>
      <w:r>
        <w:rPr>
          <w:bCs/>
        </w:rPr>
        <w:t>NGSO includes Low Earth Orbit (LEO) and Medium Earth Orbit (MEO).</w:t>
      </w:r>
    </w:p>
    <w:p w14:paraId="632626E7" w14:textId="77777777" w:rsidR="00AC04A9" w:rsidRDefault="00AC04A9" w:rsidP="00AC04A9">
      <w:pPr>
        <w:numPr>
          <w:ilvl w:val="0"/>
          <w:numId w:val="32"/>
        </w:numPr>
        <w:overflowPunct w:val="0"/>
        <w:autoSpaceDE w:val="0"/>
        <w:autoSpaceDN w:val="0"/>
        <w:adjustRightInd w:val="0"/>
        <w:spacing w:after="0" w:line="276" w:lineRule="auto"/>
        <w:ind w:left="2160"/>
        <w:textAlignment w:val="baseline"/>
        <w:rPr>
          <w:bCs/>
        </w:rPr>
      </w:pPr>
      <w:r>
        <w:rPr>
          <w:bCs/>
        </w:rPr>
        <w:t xml:space="preserve">Earth fixed tracking area. Quasi-Earth fixed &amp; Earth moving cells for </w:t>
      </w:r>
      <w:proofErr w:type="gramStart"/>
      <w:r>
        <w:rPr>
          <w:bCs/>
        </w:rPr>
        <w:t>NGSO</w:t>
      </w:r>
      <w:proofErr w:type="gramEnd"/>
    </w:p>
    <w:p w14:paraId="49AF5A83" w14:textId="77777777" w:rsidR="00AC04A9" w:rsidRDefault="00AC04A9" w:rsidP="00AC04A9">
      <w:pPr>
        <w:numPr>
          <w:ilvl w:val="0"/>
          <w:numId w:val="32"/>
        </w:numPr>
        <w:overflowPunct w:val="0"/>
        <w:autoSpaceDE w:val="0"/>
        <w:autoSpaceDN w:val="0"/>
        <w:adjustRightInd w:val="0"/>
        <w:spacing w:after="0" w:line="276" w:lineRule="auto"/>
        <w:ind w:left="2160"/>
        <w:textAlignment w:val="baseline"/>
        <w:rPr>
          <w:bCs/>
        </w:rPr>
      </w:pPr>
      <w:r>
        <w:rPr>
          <w:bCs/>
        </w:rPr>
        <w:t>UEs with GNSS (Global Navigation Satellite Systems) capability</w:t>
      </w:r>
    </w:p>
    <w:p w14:paraId="67303153" w14:textId="77777777" w:rsidR="00AC04A9" w:rsidRDefault="00AC04A9" w:rsidP="00AC04A9">
      <w:pPr>
        <w:numPr>
          <w:ilvl w:val="0"/>
          <w:numId w:val="32"/>
        </w:numPr>
        <w:overflowPunct w:val="0"/>
        <w:autoSpaceDE w:val="0"/>
        <w:autoSpaceDN w:val="0"/>
        <w:adjustRightInd w:val="0"/>
        <w:spacing w:after="0" w:line="276" w:lineRule="auto"/>
        <w:ind w:left="2160"/>
        <w:textAlignment w:val="baseline"/>
        <w:rPr>
          <w:bCs/>
        </w:rPr>
      </w:pPr>
      <w:r>
        <w:rPr>
          <w:bCs/>
        </w:rPr>
        <w:t>FDD mode for NR-NTN</w:t>
      </w:r>
    </w:p>
    <w:p w14:paraId="3EE11FE9" w14:textId="77777777" w:rsidR="00AC04A9" w:rsidRDefault="00AC04A9" w:rsidP="00AC04A9">
      <w:pPr>
        <w:numPr>
          <w:ilvl w:val="0"/>
          <w:numId w:val="32"/>
        </w:numPr>
        <w:overflowPunct w:val="0"/>
        <w:autoSpaceDE w:val="0"/>
        <w:autoSpaceDN w:val="0"/>
        <w:adjustRightInd w:val="0"/>
        <w:spacing w:after="0" w:line="276" w:lineRule="auto"/>
        <w:ind w:left="2160"/>
        <w:textAlignment w:val="baseline"/>
        <w:rPr>
          <w:bCs/>
        </w:rPr>
      </w:pPr>
      <w:r>
        <w:rPr>
          <w:bCs/>
        </w:rPr>
        <w:t xml:space="preserve">NTN-FR1 band is considered in </w:t>
      </w:r>
      <w:proofErr w:type="gramStart"/>
      <w:r>
        <w:rPr>
          <w:bCs/>
        </w:rPr>
        <w:t>priority</w:t>
      </w:r>
      <w:proofErr w:type="gramEnd"/>
    </w:p>
    <w:p w14:paraId="5D91F08E" w14:textId="77777777" w:rsidR="00AC04A9" w:rsidRPr="00AC04A9" w:rsidRDefault="00AC04A9" w:rsidP="00AC04A9">
      <w:pPr>
        <w:numPr>
          <w:ilvl w:val="0"/>
          <w:numId w:val="32"/>
        </w:numPr>
        <w:overflowPunct w:val="0"/>
        <w:autoSpaceDE w:val="0"/>
        <w:autoSpaceDN w:val="0"/>
        <w:adjustRightInd w:val="0"/>
        <w:spacing w:after="0" w:line="276" w:lineRule="auto"/>
        <w:ind w:left="2160"/>
        <w:textAlignment w:val="baseline"/>
        <w:rPr>
          <w:bCs/>
          <w:highlight w:val="yellow"/>
        </w:rPr>
      </w:pPr>
      <w:r w:rsidRPr="00AC04A9">
        <w:rPr>
          <w:bCs/>
          <w:highlight w:val="yellow"/>
        </w:rPr>
        <w:t xml:space="preserve">Implicit compatibility to support HAPS (High Altitude Platform Station) and ATG (Air </w:t>
      </w:r>
      <w:proofErr w:type="gramStart"/>
      <w:r w:rsidRPr="00AC04A9">
        <w:rPr>
          <w:bCs/>
          <w:highlight w:val="yellow"/>
        </w:rPr>
        <w:t>To</w:t>
      </w:r>
      <w:proofErr w:type="gramEnd"/>
      <w:r w:rsidRPr="00AC04A9">
        <w:rPr>
          <w:bCs/>
          <w:highlight w:val="yellow"/>
        </w:rPr>
        <w:t xml:space="preserve"> Ground) scenarios, where relevant</w:t>
      </w:r>
    </w:p>
    <w:p w14:paraId="4739E30F" w14:textId="77777777" w:rsidR="00DB3CC8" w:rsidRDefault="00DB3CC8" w:rsidP="003A75B4"/>
    <w:p w14:paraId="320C874D" w14:textId="3ED3BD45" w:rsidR="00DB3CC8" w:rsidRDefault="00E137D1" w:rsidP="003A75B4">
      <w:r>
        <w:t>However, in our understanding, there may not be</w:t>
      </w:r>
      <w:r w:rsidR="00A2730F">
        <w:t xml:space="preserve"> use case where an ATG UE is first camped on LTE network and need to switch to</w:t>
      </w:r>
      <w:r w:rsidR="00E90FEE">
        <w:t xml:space="preserve"> NR NTN. If there is LTE network or TN network available, the users of ATG</w:t>
      </w:r>
      <w:r w:rsidR="00386F94">
        <w:t xml:space="preserve"> itself will be using TN network</w:t>
      </w:r>
      <w:r w:rsidR="00A95A69">
        <w:t>. Therefore, as per objective, provid</w:t>
      </w:r>
      <w:r w:rsidR="00301A01">
        <w:t>ing</w:t>
      </w:r>
      <w:r w:rsidR="00A95A69">
        <w:t xml:space="preserve"> ATG specific SIB, i.e., SIB22</w:t>
      </w:r>
      <w:r w:rsidR="00301A01">
        <w:t xml:space="preserve"> does not need to be in the scope.</w:t>
      </w:r>
    </w:p>
    <w:p w14:paraId="7A2084A4" w14:textId="33B9FD4B" w:rsidR="00B00EB1" w:rsidRDefault="004303BC" w:rsidP="004303BC">
      <w:pPr>
        <w:pStyle w:val="Proposal"/>
        <w:numPr>
          <w:ilvl w:val="0"/>
          <w:numId w:val="7"/>
        </w:numPr>
        <w:overflowPunct w:val="0"/>
        <w:autoSpaceDE w:val="0"/>
        <w:autoSpaceDN w:val="0"/>
        <w:adjustRightInd w:val="0"/>
        <w:spacing w:before="240" w:after="240" w:line="360" w:lineRule="auto"/>
        <w:contextualSpacing/>
        <w:textAlignment w:val="baseline"/>
      </w:pPr>
      <w:bookmarkStart w:id="5" w:name="_Toc162695838"/>
      <w:bookmarkStart w:id="6" w:name="_Toc162695942"/>
      <w:bookmarkStart w:id="7" w:name="_Toc163143772"/>
      <w:bookmarkStart w:id="8" w:name="_Toc163145244"/>
      <w:bookmarkStart w:id="9" w:name="_Toc163145278"/>
      <w:r w:rsidRPr="004303BC">
        <w:t>Confirm that LTE to ATG NR cell mobility</w:t>
      </w:r>
      <w:r w:rsidR="004F08DF">
        <w:t>, i.e., broadcasting information of SIB22</w:t>
      </w:r>
      <w:r w:rsidRPr="004303BC">
        <w:t xml:space="preserve"> is not in scope.</w:t>
      </w:r>
      <w:bookmarkEnd w:id="5"/>
      <w:bookmarkEnd w:id="6"/>
      <w:bookmarkEnd w:id="7"/>
      <w:bookmarkEnd w:id="8"/>
      <w:bookmarkEnd w:id="9"/>
    </w:p>
    <w:p w14:paraId="6A2A59F2" w14:textId="19A3B347" w:rsidR="004303BC" w:rsidRPr="000F2CA0" w:rsidRDefault="003A5879" w:rsidP="003A75B4">
      <w:pPr>
        <w:rPr>
          <w:b/>
          <w:bCs/>
          <w:u w:val="single"/>
        </w:rPr>
      </w:pPr>
      <w:proofErr w:type="spellStart"/>
      <w:r w:rsidRPr="000F2CA0">
        <w:rPr>
          <w:b/>
          <w:bCs/>
          <w:u w:val="single"/>
        </w:rPr>
        <w:t>Signaling</w:t>
      </w:r>
      <w:proofErr w:type="spellEnd"/>
      <w:r w:rsidRPr="000F2CA0">
        <w:rPr>
          <w:b/>
          <w:bCs/>
          <w:u w:val="single"/>
        </w:rPr>
        <w:t xml:space="preserve"> options</w:t>
      </w:r>
    </w:p>
    <w:p w14:paraId="7432C2D6" w14:textId="6B75AB56" w:rsidR="003A5879" w:rsidRDefault="003A5879" w:rsidP="003A75B4">
      <w:r>
        <w:lastRenderedPageBreak/>
        <w:t xml:space="preserve">The </w:t>
      </w:r>
      <w:proofErr w:type="spellStart"/>
      <w:r>
        <w:t>neighbor</w:t>
      </w:r>
      <w:proofErr w:type="spellEnd"/>
      <w:r>
        <w:t xml:space="preserve"> satellite information</w:t>
      </w:r>
      <w:r w:rsidR="005A38FE">
        <w:t xml:space="preserve"> should include at least ephemeris, epoch time, common TA </w:t>
      </w:r>
      <w:r w:rsidR="00E25D1C">
        <w:t xml:space="preserve">parameters, </w:t>
      </w:r>
      <w:proofErr w:type="spellStart"/>
      <w:r w:rsidR="00E25D1C">
        <w:t>Kmac</w:t>
      </w:r>
      <w:proofErr w:type="spellEnd"/>
      <w:r w:rsidR="00E25D1C">
        <w:t>. The reference point for the epoch time should be</w:t>
      </w:r>
      <w:r w:rsidR="00030588">
        <w:t xml:space="preserve"> provided in serving cell’s </w:t>
      </w:r>
      <w:r w:rsidR="000F2CA0">
        <w:t xml:space="preserve">downlink </w:t>
      </w:r>
      <w:r w:rsidR="00030588">
        <w:t>timing</w:t>
      </w:r>
      <w:r w:rsidR="000F2CA0">
        <w:t>. The list</w:t>
      </w:r>
      <w:r w:rsidR="00BE5BE6">
        <w:t xml:space="preserve"> </w:t>
      </w:r>
      <w:r w:rsidR="00952564">
        <w:t xml:space="preserve">of </w:t>
      </w:r>
      <w:r w:rsidR="00BE5BE6">
        <w:t>NR</w:t>
      </w:r>
      <w:r w:rsidR="000F2CA0">
        <w:t xml:space="preserve"> frequencies for each satellite should also be provided and optionally the PCI information can also be provided.</w:t>
      </w:r>
      <w:r w:rsidR="00BE5BE6">
        <w:t xml:space="preserve"> These are provided as </w:t>
      </w:r>
      <w:proofErr w:type="spellStart"/>
      <w:r w:rsidR="00BE5BE6">
        <w:t>neighbor</w:t>
      </w:r>
      <w:proofErr w:type="spellEnd"/>
      <w:r w:rsidR="00BE5BE6">
        <w:t xml:space="preserve"> cell information in SIB19 in NR NTN and NR TN.</w:t>
      </w:r>
    </w:p>
    <w:p w14:paraId="1A3818F3" w14:textId="5E74065F" w:rsidR="006E2672" w:rsidRDefault="00B136B9" w:rsidP="003A75B4">
      <w:r>
        <w:t>EUTRA SIB33</w:t>
      </w:r>
      <w:r w:rsidR="007C34E4">
        <w:t xml:space="preserve"> includes </w:t>
      </w:r>
      <w:proofErr w:type="spellStart"/>
      <w:r w:rsidR="007C34E4">
        <w:t>neighbor</w:t>
      </w:r>
      <w:proofErr w:type="spellEnd"/>
      <w:r w:rsidR="007C34E4">
        <w:t xml:space="preserve"> satellite information</w:t>
      </w:r>
      <w:r w:rsidR="00067A4C">
        <w:t xml:space="preserve"> but it is</w:t>
      </w:r>
      <w:r w:rsidR="007C34E4">
        <w:t xml:space="preserve"> for </w:t>
      </w:r>
      <w:r w:rsidR="00593443">
        <w:t>intra</w:t>
      </w:r>
      <w:r w:rsidR="0033665C">
        <w:t xml:space="preserve">-frequency or inter-frequency </w:t>
      </w:r>
      <w:proofErr w:type="spellStart"/>
      <w:r w:rsidR="0033665C">
        <w:t>neighbor</w:t>
      </w:r>
      <w:proofErr w:type="spellEnd"/>
      <w:r w:rsidR="0033665C">
        <w:t xml:space="preserve"> cells</w:t>
      </w:r>
      <w:r w:rsidR="009C20E0">
        <w:t xml:space="preserve">. </w:t>
      </w:r>
      <w:r w:rsidR="008675B9">
        <w:t>The SIB</w:t>
      </w:r>
      <w:r w:rsidR="008675B9" w:rsidRPr="008675B9">
        <w:t>24 contains information relevant for inter-RAT cell re-selection (i.e. information about NR frequencies and NR neighbouring cells relevant for cell re-selection)</w:t>
      </w:r>
      <w:r w:rsidR="008675B9">
        <w:t xml:space="preserve"> and this can be extended</w:t>
      </w:r>
      <w:r w:rsidR="009949E3">
        <w:t xml:space="preserve"> to include NR NTN-Config information.</w:t>
      </w:r>
      <w:r w:rsidR="00BF751C">
        <w:t xml:space="preserve"> However, for each RAT type, a separate SIB has been introduced, for example, </w:t>
      </w:r>
      <w:r w:rsidR="005273C3">
        <w:t xml:space="preserve">SIB27 for NB-IoT, SIB24 for TN NR, </w:t>
      </w:r>
      <w:r w:rsidR="00D72E73">
        <w:t xml:space="preserve">SIB7 for GERAN and SIB6 for UTRA. </w:t>
      </w:r>
      <w:r w:rsidR="006E2672">
        <w:t xml:space="preserve">For the case of </w:t>
      </w:r>
      <w:r w:rsidR="00D72E73">
        <w:t>NR NTN cell type</w:t>
      </w:r>
      <w:r w:rsidR="006E2672">
        <w:t xml:space="preserve">, it may be cleaner to introduce a new SIB to broadcast such information. </w:t>
      </w:r>
    </w:p>
    <w:p w14:paraId="2B7FDD15" w14:textId="667ED800" w:rsidR="00D72E73" w:rsidRDefault="00067A4C" w:rsidP="00D72E73">
      <w:pPr>
        <w:pStyle w:val="Proposal"/>
        <w:numPr>
          <w:ilvl w:val="0"/>
          <w:numId w:val="7"/>
        </w:numPr>
        <w:overflowPunct w:val="0"/>
        <w:autoSpaceDE w:val="0"/>
        <w:autoSpaceDN w:val="0"/>
        <w:adjustRightInd w:val="0"/>
        <w:spacing w:before="240" w:after="240" w:line="360" w:lineRule="auto"/>
        <w:contextualSpacing/>
        <w:textAlignment w:val="baseline"/>
      </w:pPr>
      <w:bookmarkStart w:id="10" w:name="_Toc162695839"/>
      <w:bookmarkStart w:id="11" w:name="_Toc162695943"/>
      <w:bookmarkStart w:id="12" w:name="_Toc163143773"/>
      <w:bookmarkStart w:id="13" w:name="_Toc163145245"/>
      <w:bookmarkStart w:id="14" w:name="_Toc163145279"/>
      <w:r>
        <w:t>Discuss</w:t>
      </w:r>
      <w:r w:rsidR="00D72E73">
        <w:t xml:space="preserve"> whether to extend existing SIB or introduce new SIB to provide NR NTN assistance information.</w:t>
      </w:r>
      <w:bookmarkEnd w:id="10"/>
      <w:bookmarkEnd w:id="11"/>
      <w:bookmarkEnd w:id="12"/>
      <w:bookmarkEnd w:id="13"/>
      <w:bookmarkEnd w:id="14"/>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13B30E3B" w14:textId="77777777" w:rsidR="00067A4C" w:rsidRDefault="00A81919">
      <w:pPr>
        <w:pStyle w:val="TOC1"/>
        <w:tabs>
          <w:tab w:val="left" w:pos="1320"/>
        </w:tabs>
        <w:rPr>
          <w:rFonts w:asciiTheme="minorHAnsi" w:eastAsiaTheme="minorEastAsia" w:hAnsiTheme="minorHAnsi" w:cstheme="minorBidi"/>
          <w:kern w:val="2"/>
          <w:szCs w:val="22"/>
          <w:lang w:val="en-US"/>
          <w14:ligatures w14:val="standardContextual"/>
        </w:rPr>
      </w:pPr>
      <w:r>
        <w:fldChar w:fldCharType="begin"/>
      </w:r>
      <w:r>
        <w:instrText xml:space="preserve"> TOC \n \t "Proposal,1,Observation,1" </w:instrText>
      </w:r>
      <w:r>
        <w:fldChar w:fldCharType="separate"/>
      </w:r>
      <w:r w:rsidR="00067A4C">
        <w:t>Proposal 1</w:t>
      </w:r>
      <w:r w:rsidR="00067A4C">
        <w:rPr>
          <w:rFonts w:asciiTheme="minorHAnsi" w:eastAsiaTheme="minorEastAsia" w:hAnsiTheme="minorHAnsi" w:cstheme="minorBidi"/>
          <w:kern w:val="2"/>
          <w:szCs w:val="22"/>
          <w:lang w:val="en-US"/>
          <w14:ligatures w14:val="standardContextual"/>
        </w:rPr>
        <w:tab/>
      </w:r>
      <w:r w:rsidR="00067A4C">
        <w:t>Confirm normal LTE UE, non-Cat M UE, eMTC UE and NB-IoT UE are in scope.</w:t>
      </w:r>
    </w:p>
    <w:p w14:paraId="5735B716" w14:textId="77777777" w:rsidR="00067A4C" w:rsidRDefault="00067A4C">
      <w:pPr>
        <w:pStyle w:val="TOC1"/>
        <w:tabs>
          <w:tab w:val="left" w:pos="1320"/>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Confirm that LTE to ATG NR cell mobility, i.e., broadcasting information of SIB22 is not in scope.</w:t>
      </w:r>
    </w:p>
    <w:p w14:paraId="42BDB609" w14:textId="77777777" w:rsidR="00067A4C" w:rsidRDefault="00067A4C">
      <w:pPr>
        <w:pStyle w:val="TOC1"/>
        <w:tabs>
          <w:tab w:val="left" w:pos="1320"/>
        </w:tabs>
        <w:rPr>
          <w:rFonts w:asciiTheme="minorHAnsi" w:eastAsiaTheme="minorEastAsia" w:hAnsiTheme="minorHAnsi" w:cstheme="minorBidi"/>
          <w:kern w:val="2"/>
          <w:szCs w:val="22"/>
          <w:lang w:val="en-US"/>
          <w14:ligatures w14:val="standardContextual"/>
        </w:rPr>
      </w:pPr>
      <w:r>
        <w:t>Proposal 3</w:t>
      </w:r>
      <w:r>
        <w:rPr>
          <w:rFonts w:asciiTheme="minorHAnsi" w:eastAsiaTheme="minorEastAsia" w:hAnsiTheme="minorHAnsi" w:cstheme="minorBidi"/>
          <w:kern w:val="2"/>
          <w:szCs w:val="22"/>
          <w:lang w:val="en-US"/>
          <w14:ligatures w14:val="standardContextual"/>
        </w:rPr>
        <w:tab/>
      </w:r>
      <w:r>
        <w:t>Discuss whether to extend existing SIB or introduce new SIB to provide NR NTN assistance information.</w:t>
      </w:r>
    </w:p>
    <w:p w14:paraId="5A1FAD7F" w14:textId="02FD5875" w:rsidR="00453B12" w:rsidRPr="002531E6" w:rsidRDefault="00A81919" w:rsidP="002531E6">
      <w:pPr>
        <w:pStyle w:val="Heading1"/>
        <w:numPr>
          <w:ilvl w:val="0"/>
          <w:numId w:val="6"/>
        </w:numPr>
        <w:pBdr>
          <w:top w:val="single" w:sz="12" w:space="2" w:color="auto"/>
        </w:pBdr>
        <w:tabs>
          <w:tab w:val="num" w:pos="720"/>
        </w:tabs>
        <w:ind w:left="720" w:hanging="720"/>
      </w:pPr>
      <w:r>
        <w:rPr>
          <w:noProof/>
          <w:sz w:val="22"/>
        </w:rPr>
        <w:fldChar w:fldCharType="end"/>
      </w:r>
      <w:r w:rsidR="002531E6" w:rsidRPr="002531E6">
        <w:t>Reference</w:t>
      </w:r>
    </w:p>
    <w:p w14:paraId="572A2F30" w14:textId="2091CCD3" w:rsidR="002531E6" w:rsidRDefault="002531E6" w:rsidP="00453B12">
      <w:r>
        <w:t xml:space="preserve">[1] </w:t>
      </w:r>
      <w:r w:rsidR="00176EFD" w:rsidRPr="00176EFD">
        <w:t>RP-240846</w:t>
      </w:r>
      <w:r w:rsidR="003809E1">
        <w:t>, “</w:t>
      </w:r>
      <w:r w:rsidR="00094944" w:rsidRPr="00094944">
        <w:t>New WID: Inter RAT mobility support from E-UTRAN TN to NR-NTN</w:t>
      </w:r>
      <w:r w:rsidR="00441EEB">
        <w:t xml:space="preserve">”, </w:t>
      </w:r>
      <w:r w:rsidR="0073386A" w:rsidRPr="0073386A">
        <w:t>March 18-22, 2024</w:t>
      </w:r>
      <w:r w:rsidR="00441EEB">
        <w:t>.</w:t>
      </w:r>
    </w:p>
    <w:sectPr w:rsidR="002531E6" w:rsidSect="00356D03">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D729" w14:textId="77777777" w:rsidR="00356D03" w:rsidRDefault="00356D03">
      <w:pPr>
        <w:spacing w:after="0"/>
      </w:pPr>
      <w:r>
        <w:separator/>
      </w:r>
    </w:p>
  </w:endnote>
  <w:endnote w:type="continuationSeparator" w:id="0">
    <w:p w14:paraId="1243A514" w14:textId="77777777" w:rsidR="00356D03" w:rsidRDefault="00356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33F38" w14:textId="77777777" w:rsidR="00356D03" w:rsidRDefault="00356D03">
      <w:pPr>
        <w:spacing w:after="0"/>
      </w:pPr>
      <w:r>
        <w:separator/>
      </w:r>
    </w:p>
  </w:footnote>
  <w:footnote w:type="continuationSeparator" w:id="0">
    <w:p w14:paraId="4428B26E" w14:textId="77777777" w:rsidR="00356D03" w:rsidRDefault="00356D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4440"/>
    <w:multiLevelType w:val="hybridMultilevel"/>
    <w:tmpl w:val="2C24A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8A4C93"/>
    <w:multiLevelType w:val="hybridMultilevel"/>
    <w:tmpl w:val="E146B486"/>
    <w:lvl w:ilvl="0" w:tplc="EEB41D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4225905">
    <w:abstractNumId w:val="3"/>
  </w:num>
  <w:num w:numId="2" w16cid:durableId="165562215">
    <w:abstractNumId w:val="21"/>
  </w:num>
  <w:num w:numId="3" w16cid:durableId="848328707">
    <w:abstractNumId w:val="2"/>
  </w:num>
  <w:num w:numId="4" w16cid:durableId="1457137946">
    <w:abstractNumId w:val="14"/>
  </w:num>
  <w:num w:numId="5" w16cid:durableId="1097747988">
    <w:abstractNumId w:val="21"/>
  </w:num>
  <w:num w:numId="6" w16cid:durableId="675621482">
    <w:abstractNumId w:val="10"/>
  </w:num>
  <w:num w:numId="7" w16cid:durableId="1304964842">
    <w:abstractNumId w:val="16"/>
  </w:num>
  <w:num w:numId="8" w16cid:durableId="125047382">
    <w:abstractNumId w:val="11"/>
  </w:num>
  <w:num w:numId="9" w16cid:durableId="269971381">
    <w:abstractNumId w:val="18"/>
  </w:num>
  <w:num w:numId="10" w16cid:durableId="1166480600">
    <w:abstractNumId w:val="7"/>
  </w:num>
  <w:num w:numId="11" w16cid:durableId="1899051820">
    <w:abstractNumId w:val="12"/>
  </w:num>
  <w:num w:numId="12" w16cid:durableId="1750300129">
    <w:abstractNumId w:val="15"/>
  </w:num>
  <w:num w:numId="13" w16cid:durableId="1246263475">
    <w:abstractNumId w:val="14"/>
  </w:num>
  <w:num w:numId="14" w16cid:durableId="1670326438">
    <w:abstractNumId w:val="14"/>
  </w:num>
  <w:num w:numId="15" w16cid:durableId="1185368059">
    <w:abstractNumId w:val="1"/>
  </w:num>
  <w:num w:numId="16" w16cid:durableId="680856319">
    <w:abstractNumId w:val="6"/>
  </w:num>
  <w:num w:numId="17" w16cid:durableId="1320383609">
    <w:abstractNumId w:val="5"/>
  </w:num>
  <w:num w:numId="18" w16cid:durableId="1506020440">
    <w:abstractNumId w:val="14"/>
  </w:num>
  <w:num w:numId="19" w16cid:durableId="1131437444">
    <w:abstractNumId w:val="17"/>
  </w:num>
  <w:num w:numId="20" w16cid:durableId="1554272510">
    <w:abstractNumId w:val="14"/>
  </w:num>
  <w:num w:numId="21" w16cid:durableId="2070877550">
    <w:abstractNumId w:val="19"/>
  </w:num>
  <w:num w:numId="22" w16cid:durableId="1726248054">
    <w:abstractNumId w:val="14"/>
  </w:num>
  <w:num w:numId="23" w16cid:durableId="611282159">
    <w:abstractNumId w:val="20"/>
  </w:num>
  <w:num w:numId="24" w16cid:durableId="1473984226">
    <w:abstractNumId w:val="8"/>
  </w:num>
  <w:num w:numId="25" w16cid:durableId="52776904">
    <w:abstractNumId w:val="14"/>
  </w:num>
  <w:num w:numId="26" w16cid:durableId="194077589">
    <w:abstractNumId w:val="14"/>
  </w:num>
  <w:num w:numId="27" w16cid:durableId="1611232355">
    <w:abstractNumId w:val="22"/>
  </w:num>
  <w:num w:numId="28" w16cid:durableId="1388188529">
    <w:abstractNumId w:val="13"/>
  </w:num>
  <w:num w:numId="29" w16cid:durableId="928536758">
    <w:abstractNumId w:val="0"/>
  </w:num>
  <w:num w:numId="30" w16cid:durableId="1653094925">
    <w:abstractNumId w:val="4"/>
  </w:num>
  <w:num w:numId="31" w16cid:durableId="140123655">
    <w:abstractNumId w:val="14"/>
  </w:num>
  <w:num w:numId="32" w16cid:durableId="88475345">
    <w:abstractNumId w:val="9"/>
  </w:num>
  <w:num w:numId="33" w16cid:durableId="1719544494">
    <w:abstractNumId w:val="14"/>
  </w:num>
  <w:num w:numId="34" w16cid:durableId="5864241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2101C"/>
    <w:rsid w:val="00024312"/>
    <w:rsid w:val="00030588"/>
    <w:rsid w:val="000335A2"/>
    <w:rsid w:val="00035798"/>
    <w:rsid w:val="00037B03"/>
    <w:rsid w:val="00067A4C"/>
    <w:rsid w:val="00076F06"/>
    <w:rsid w:val="00077247"/>
    <w:rsid w:val="000841DA"/>
    <w:rsid w:val="000855B8"/>
    <w:rsid w:val="00087A9A"/>
    <w:rsid w:val="0009044F"/>
    <w:rsid w:val="000933B6"/>
    <w:rsid w:val="00094944"/>
    <w:rsid w:val="000957D6"/>
    <w:rsid w:val="000A3700"/>
    <w:rsid w:val="000B4525"/>
    <w:rsid w:val="000B5286"/>
    <w:rsid w:val="000D3D32"/>
    <w:rsid w:val="000D51CD"/>
    <w:rsid w:val="000D7711"/>
    <w:rsid w:val="000F2CA0"/>
    <w:rsid w:val="00110DCF"/>
    <w:rsid w:val="00121D6B"/>
    <w:rsid w:val="00122E7F"/>
    <w:rsid w:val="00127178"/>
    <w:rsid w:val="001338B7"/>
    <w:rsid w:val="001348AC"/>
    <w:rsid w:val="00146B2F"/>
    <w:rsid w:val="001547BE"/>
    <w:rsid w:val="0016005C"/>
    <w:rsid w:val="00162617"/>
    <w:rsid w:val="00165863"/>
    <w:rsid w:val="00167EED"/>
    <w:rsid w:val="00176EFD"/>
    <w:rsid w:val="00192390"/>
    <w:rsid w:val="00192E2D"/>
    <w:rsid w:val="001973BF"/>
    <w:rsid w:val="00197843"/>
    <w:rsid w:val="001A0825"/>
    <w:rsid w:val="001C0D36"/>
    <w:rsid w:val="001C79A1"/>
    <w:rsid w:val="001E606C"/>
    <w:rsid w:val="001F709D"/>
    <w:rsid w:val="00200750"/>
    <w:rsid w:val="002040AD"/>
    <w:rsid w:val="00207CBA"/>
    <w:rsid w:val="002138E1"/>
    <w:rsid w:val="00214438"/>
    <w:rsid w:val="00230B91"/>
    <w:rsid w:val="00241E90"/>
    <w:rsid w:val="002531E6"/>
    <w:rsid w:val="00260FAC"/>
    <w:rsid w:val="00264E10"/>
    <w:rsid w:val="0026765E"/>
    <w:rsid w:val="00273E6C"/>
    <w:rsid w:val="00280CE9"/>
    <w:rsid w:val="00290971"/>
    <w:rsid w:val="00291859"/>
    <w:rsid w:val="00292C50"/>
    <w:rsid w:val="002954D8"/>
    <w:rsid w:val="00297FF8"/>
    <w:rsid w:val="002A0B22"/>
    <w:rsid w:val="002A0BF5"/>
    <w:rsid w:val="002A538D"/>
    <w:rsid w:val="002A57B4"/>
    <w:rsid w:val="002B0640"/>
    <w:rsid w:val="002C08B1"/>
    <w:rsid w:val="002C6B35"/>
    <w:rsid w:val="002D4724"/>
    <w:rsid w:val="002E1490"/>
    <w:rsid w:val="002E505D"/>
    <w:rsid w:val="002F0BC7"/>
    <w:rsid w:val="002F66DE"/>
    <w:rsid w:val="00301A01"/>
    <w:rsid w:val="00313346"/>
    <w:rsid w:val="00332E7C"/>
    <w:rsid w:val="0033665C"/>
    <w:rsid w:val="00344C4B"/>
    <w:rsid w:val="00346EA7"/>
    <w:rsid w:val="00355001"/>
    <w:rsid w:val="00356604"/>
    <w:rsid w:val="00356D03"/>
    <w:rsid w:val="003631CC"/>
    <w:rsid w:val="003766BD"/>
    <w:rsid w:val="003809E1"/>
    <w:rsid w:val="003809E3"/>
    <w:rsid w:val="00383210"/>
    <w:rsid w:val="00386F94"/>
    <w:rsid w:val="00392739"/>
    <w:rsid w:val="0039578C"/>
    <w:rsid w:val="00397D2B"/>
    <w:rsid w:val="003A5879"/>
    <w:rsid w:val="003A75B4"/>
    <w:rsid w:val="003A7F98"/>
    <w:rsid w:val="003B3BF0"/>
    <w:rsid w:val="003C263F"/>
    <w:rsid w:val="003C32BE"/>
    <w:rsid w:val="003C4A6F"/>
    <w:rsid w:val="003D22C6"/>
    <w:rsid w:val="003E0075"/>
    <w:rsid w:val="003E595D"/>
    <w:rsid w:val="003F4202"/>
    <w:rsid w:val="003F60FE"/>
    <w:rsid w:val="003F7B7C"/>
    <w:rsid w:val="004040C3"/>
    <w:rsid w:val="00412AC9"/>
    <w:rsid w:val="00414659"/>
    <w:rsid w:val="00417E6E"/>
    <w:rsid w:val="00421203"/>
    <w:rsid w:val="004303BC"/>
    <w:rsid w:val="0043054C"/>
    <w:rsid w:val="00441EEB"/>
    <w:rsid w:val="00443BA0"/>
    <w:rsid w:val="00453B12"/>
    <w:rsid w:val="004601DB"/>
    <w:rsid w:val="00475EE2"/>
    <w:rsid w:val="0049738F"/>
    <w:rsid w:val="004A0679"/>
    <w:rsid w:val="004B6A20"/>
    <w:rsid w:val="004C3083"/>
    <w:rsid w:val="004D03B3"/>
    <w:rsid w:val="004E1CF9"/>
    <w:rsid w:val="004E4061"/>
    <w:rsid w:val="004F08DF"/>
    <w:rsid w:val="004F2903"/>
    <w:rsid w:val="004F59D6"/>
    <w:rsid w:val="004F665E"/>
    <w:rsid w:val="00521DD3"/>
    <w:rsid w:val="005273C3"/>
    <w:rsid w:val="0054064B"/>
    <w:rsid w:val="0055032C"/>
    <w:rsid w:val="0056464A"/>
    <w:rsid w:val="00564DAA"/>
    <w:rsid w:val="00567739"/>
    <w:rsid w:val="00575B3D"/>
    <w:rsid w:val="005900AA"/>
    <w:rsid w:val="00593443"/>
    <w:rsid w:val="005A38FE"/>
    <w:rsid w:val="005A4488"/>
    <w:rsid w:val="005A6301"/>
    <w:rsid w:val="005A663B"/>
    <w:rsid w:val="005B2476"/>
    <w:rsid w:val="005B683B"/>
    <w:rsid w:val="005C3338"/>
    <w:rsid w:val="005C4EDA"/>
    <w:rsid w:val="005C5690"/>
    <w:rsid w:val="005D7334"/>
    <w:rsid w:val="005E0B20"/>
    <w:rsid w:val="005F5769"/>
    <w:rsid w:val="005F71C7"/>
    <w:rsid w:val="0060108D"/>
    <w:rsid w:val="0060356D"/>
    <w:rsid w:val="00630262"/>
    <w:rsid w:val="006324A9"/>
    <w:rsid w:val="00635E23"/>
    <w:rsid w:val="00640F25"/>
    <w:rsid w:val="006525B9"/>
    <w:rsid w:val="00660099"/>
    <w:rsid w:val="00661AB9"/>
    <w:rsid w:val="006629B4"/>
    <w:rsid w:val="00663A25"/>
    <w:rsid w:val="006672FA"/>
    <w:rsid w:val="00672025"/>
    <w:rsid w:val="00674E3C"/>
    <w:rsid w:val="00680293"/>
    <w:rsid w:val="00685D63"/>
    <w:rsid w:val="006961FB"/>
    <w:rsid w:val="0069AEF5"/>
    <w:rsid w:val="006A4146"/>
    <w:rsid w:val="006C0739"/>
    <w:rsid w:val="006C0A9B"/>
    <w:rsid w:val="006D5A22"/>
    <w:rsid w:val="006D750A"/>
    <w:rsid w:val="006E2672"/>
    <w:rsid w:val="006E4B17"/>
    <w:rsid w:val="006E6BAC"/>
    <w:rsid w:val="006F11C1"/>
    <w:rsid w:val="00701D46"/>
    <w:rsid w:val="007064FB"/>
    <w:rsid w:val="0071466D"/>
    <w:rsid w:val="00720073"/>
    <w:rsid w:val="00727ECE"/>
    <w:rsid w:val="00731013"/>
    <w:rsid w:val="0073386A"/>
    <w:rsid w:val="00745D1A"/>
    <w:rsid w:val="00763CEF"/>
    <w:rsid w:val="007645C4"/>
    <w:rsid w:val="00771DCF"/>
    <w:rsid w:val="0077220C"/>
    <w:rsid w:val="00777CBA"/>
    <w:rsid w:val="00784D94"/>
    <w:rsid w:val="00785D78"/>
    <w:rsid w:val="007A3F98"/>
    <w:rsid w:val="007A7EFD"/>
    <w:rsid w:val="007B13EA"/>
    <w:rsid w:val="007C34E4"/>
    <w:rsid w:val="007D7E14"/>
    <w:rsid w:val="007E5545"/>
    <w:rsid w:val="007F0937"/>
    <w:rsid w:val="007F6D1C"/>
    <w:rsid w:val="008065A2"/>
    <w:rsid w:val="008135B9"/>
    <w:rsid w:val="0081506E"/>
    <w:rsid w:val="00823DA1"/>
    <w:rsid w:val="00827C38"/>
    <w:rsid w:val="008368E1"/>
    <w:rsid w:val="008549D2"/>
    <w:rsid w:val="0086117A"/>
    <w:rsid w:val="00862891"/>
    <w:rsid w:val="00862ABC"/>
    <w:rsid w:val="008675B9"/>
    <w:rsid w:val="008708D5"/>
    <w:rsid w:val="008758EE"/>
    <w:rsid w:val="008776B3"/>
    <w:rsid w:val="00890801"/>
    <w:rsid w:val="008914B7"/>
    <w:rsid w:val="008937F1"/>
    <w:rsid w:val="00895DE4"/>
    <w:rsid w:val="008B2A7B"/>
    <w:rsid w:val="008C7584"/>
    <w:rsid w:val="008D36C6"/>
    <w:rsid w:val="008D4177"/>
    <w:rsid w:val="008D78D4"/>
    <w:rsid w:val="008D7D8B"/>
    <w:rsid w:val="008F0BC7"/>
    <w:rsid w:val="009010A2"/>
    <w:rsid w:val="00903BE4"/>
    <w:rsid w:val="00905F05"/>
    <w:rsid w:val="00930583"/>
    <w:rsid w:val="00951576"/>
    <w:rsid w:val="00952132"/>
    <w:rsid w:val="00952564"/>
    <w:rsid w:val="009550DF"/>
    <w:rsid w:val="00963F05"/>
    <w:rsid w:val="00965A56"/>
    <w:rsid w:val="00987692"/>
    <w:rsid w:val="009949E3"/>
    <w:rsid w:val="009A7941"/>
    <w:rsid w:val="009B0575"/>
    <w:rsid w:val="009B297C"/>
    <w:rsid w:val="009B6889"/>
    <w:rsid w:val="009C20E0"/>
    <w:rsid w:val="009C33D7"/>
    <w:rsid w:val="009C52E2"/>
    <w:rsid w:val="009D2AE3"/>
    <w:rsid w:val="009E1DEC"/>
    <w:rsid w:val="009E263F"/>
    <w:rsid w:val="009F385E"/>
    <w:rsid w:val="00A069F4"/>
    <w:rsid w:val="00A10E9E"/>
    <w:rsid w:val="00A14473"/>
    <w:rsid w:val="00A175E6"/>
    <w:rsid w:val="00A2227E"/>
    <w:rsid w:val="00A2730F"/>
    <w:rsid w:val="00A32079"/>
    <w:rsid w:val="00A367C4"/>
    <w:rsid w:val="00A40DAF"/>
    <w:rsid w:val="00A42D72"/>
    <w:rsid w:val="00A57561"/>
    <w:rsid w:val="00A7127A"/>
    <w:rsid w:val="00A7483D"/>
    <w:rsid w:val="00A81919"/>
    <w:rsid w:val="00A95A69"/>
    <w:rsid w:val="00AA5F72"/>
    <w:rsid w:val="00AB5F35"/>
    <w:rsid w:val="00AC04A9"/>
    <w:rsid w:val="00AC4FDB"/>
    <w:rsid w:val="00AC6A6E"/>
    <w:rsid w:val="00AD5255"/>
    <w:rsid w:val="00AE50B5"/>
    <w:rsid w:val="00AE63DF"/>
    <w:rsid w:val="00B00EB1"/>
    <w:rsid w:val="00B06905"/>
    <w:rsid w:val="00B07E0C"/>
    <w:rsid w:val="00B124A8"/>
    <w:rsid w:val="00B12935"/>
    <w:rsid w:val="00B136B9"/>
    <w:rsid w:val="00B1449E"/>
    <w:rsid w:val="00B147AB"/>
    <w:rsid w:val="00B452DB"/>
    <w:rsid w:val="00B52D4F"/>
    <w:rsid w:val="00B55AB2"/>
    <w:rsid w:val="00B71C6D"/>
    <w:rsid w:val="00B81D9C"/>
    <w:rsid w:val="00B85A77"/>
    <w:rsid w:val="00B96C46"/>
    <w:rsid w:val="00B976F4"/>
    <w:rsid w:val="00BC0D83"/>
    <w:rsid w:val="00BC4C81"/>
    <w:rsid w:val="00BD180E"/>
    <w:rsid w:val="00BD1CDB"/>
    <w:rsid w:val="00BD2889"/>
    <w:rsid w:val="00BD6B8D"/>
    <w:rsid w:val="00BD6C3C"/>
    <w:rsid w:val="00BE0A04"/>
    <w:rsid w:val="00BE5BE6"/>
    <w:rsid w:val="00BE5C8D"/>
    <w:rsid w:val="00BE7C3E"/>
    <w:rsid w:val="00BF2E0A"/>
    <w:rsid w:val="00BF4DF7"/>
    <w:rsid w:val="00BF70CD"/>
    <w:rsid w:val="00BF711E"/>
    <w:rsid w:val="00BF751C"/>
    <w:rsid w:val="00C01766"/>
    <w:rsid w:val="00C077E8"/>
    <w:rsid w:val="00C17BE7"/>
    <w:rsid w:val="00C25E55"/>
    <w:rsid w:val="00C37189"/>
    <w:rsid w:val="00C37BEF"/>
    <w:rsid w:val="00C459B4"/>
    <w:rsid w:val="00C523B8"/>
    <w:rsid w:val="00C54AA0"/>
    <w:rsid w:val="00C55240"/>
    <w:rsid w:val="00C6229A"/>
    <w:rsid w:val="00C64588"/>
    <w:rsid w:val="00C67AD8"/>
    <w:rsid w:val="00C72A15"/>
    <w:rsid w:val="00C740E7"/>
    <w:rsid w:val="00C75EFB"/>
    <w:rsid w:val="00C7659B"/>
    <w:rsid w:val="00CA4CE9"/>
    <w:rsid w:val="00CA6CA4"/>
    <w:rsid w:val="00CB3C4B"/>
    <w:rsid w:val="00CB4D23"/>
    <w:rsid w:val="00CB5D3F"/>
    <w:rsid w:val="00CC3A64"/>
    <w:rsid w:val="00CC4614"/>
    <w:rsid w:val="00CC79CB"/>
    <w:rsid w:val="00CD54F4"/>
    <w:rsid w:val="00CE2097"/>
    <w:rsid w:val="00CE2985"/>
    <w:rsid w:val="00CE7977"/>
    <w:rsid w:val="00CF0764"/>
    <w:rsid w:val="00CF43D8"/>
    <w:rsid w:val="00D07073"/>
    <w:rsid w:val="00D25EB7"/>
    <w:rsid w:val="00D31168"/>
    <w:rsid w:val="00D4613B"/>
    <w:rsid w:val="00D67E70"/>
    <w:rsid w:val="00D72E73"/>
    <w:rsid w:val="00D84449"/>
    <w:rsid w:val="00D94D38"/>
    <w:rsid w:val="00D94F46"/>
    <w:rsid w:val="00DB29E3"/>
    <w:rsid w:val="00DB3CC8"/>
    <w:rsid w:val="00DC4C53"/>
    <w:rsid w:val="00DD434C"/>
    <w:rsid w:val="00DD6B41"/>
    <w:rsid w:val="00DE6A6A"/>
    <w:rsid w:val="00DF3A50"/>
    <w:rsid w:val="00DF6B0D"/>
    <w:rsid w:val="00DFCF75"/>
    <w:rsid w:val="00E003A2"/>
    <w:rsid w:val="00E00F93"/>
    <w:rsid w:val="00E03D39"/>
    <w:rsid w:val="00E137D1"/>
    <w:rsid w:val="00E25D1C"/>
    <w:rsid w:val="00E30B0F"/>
    <w:rsid w:val="00E34636"/>
    <w:rsid w:val="00E41273"/>
    <w:rsid w:val="00E4647A"/>
    <w:rsid w:val="00E51260"/>
    <w:rsid w:val="00E61C7E"/>
    <w:rsid w:val="00E868A4"/>
    <w:rsid w:val="00E90FEE"/>
    <w:rsid w:val="00E932A5"/>
    <w:rsid w:val="00EA0AE4"/>
    <w:rsid w:val="00EB45B9"/>
    <w:rsid w:val="00EB646A"/>
    <w:rsid w:val="00EC0ED8"/>
    <w:rsid w:val="00EC1CE5"/>
    <w:rsid w:val="00EE47B1"/>
    <w:rsid w:val="00EE599D"/>
    <w:rsid w:val="00F039A2"/>
    <w:rsid w:val="00F05A56"/>
    <w:rsid w:val="00F22354"/>
    <w:rsid w:val="00F22716"/>
    <w:rsid w:val="00F23E84"/>
    <w:rsid w:val="00F7407D"/>
    <w:rsid w:val="00F7734E"/>
    <w:rsid w:val="00F8598B"/>
    <w:rsid w:val="00F90A7A"/>
    <w:rsid w:val="00F9670D"/>
    <w:rsid w:val="00FA33E0"/>
    <w:rsid w:val="00FA37CB"/>
    <w:rsid w:val="00FB1C0E"/>
    <w:rsid w:val="00FB757E"/>
    <w:rsid w:val="00FC07AA"/>
    <w:rsid w:val="00FC5386"/>
    <w:rsid w:val="00FC5DA6"/>
    <w:rsid w:val="00FC6AE7"/>
    <w:rsid w:val="00FE2785"/>
    <w:rsid w:val="00FF2AC5"/>
    <w:rsid w:val="00FF6BD8"/>
    <w:rsid w:val="00FF6FBC"/>
    <w:rsid w:val="0386F694"/>
    <w:rsid w:val="0B57725D"/>
    <w:rsid w:val="0B86C4D4"/>
    <w:rsid w:val="124DCBBB"/>
    <w:rsid w:val="19A00499"/>
    <w:rsid w:val="1B1821FA"/>
    <w:rsid w:val="2018AE25"/>
    <w:rsid w:val="260259B2"/>
    <w:rsid w:val="33F31266"/>
    <w:rsid w:val="355DF634"/>
    <w:rsid w:val="461E714E"/>
    <w:rsid w:val="52BA9590"/>
    <w:rsid w:val="5F28F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D67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D67E70"/>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D36C6"/>
    <w:pPr>
      <w:overflowPunct/>
      <w:autoSpaceDE/>
      <w:autoSpaceDN/>
      <w:adjustRightInd/>
      <w:textAlignment w:val="auto"/>
    </w:pPr>
    <w:rPr>
      <w:rFonts w:eastAsia="Malgun Gothic"/>
      <w:b/>
      <w:bCs/>
      <w:sz w:val="20"/>
      <w:szCs w:val="20"/>
      <w:lang w:val="en-GB" w:eastAsia="en-US"/>
    </w:rPr>
  </w:style>
  <w:style w:type="character" w:customStyle="1" w:styleId="CommentSubjectChar">
    <w:name w:val="Comment Subject Char"/>
    <w:basedOn w:val="CommentTextChar"/>
    <w:link w:val="CommentSubject"/>
    <w:uiPriority w:val="99"/>
    <w:semiHidden/>
    <w:rsid w:val="008D36C6"/>
    <w:rPr>
      <w:rFonts w:ascii="Times New Roman" w:eastAsia="Malgun Gothic" w:hAnsi="Times New Roman" w:cs="Times New Roman"/>
      <w:b/>
      <w:bCs/>
      <w:kern w:val="0"/>
      <w:sz w:val="20"/>
      <w:szCs w:val="20"/>
      <w:lang w:val="en-GB"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4CC3D2-B443-4837-8F57-625D9F8A4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3.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4.xml><?xml version="1.0" encoding="utf-8"?>
<ds:datastoreItem xmlns:ds="http://schemas.openxmlformats.org/officeDocument/2006/customXml" ds:itemID="{808CD1BA-6A74-4D05-A707-D659A155C9AB}">
  <ds:schemaRefs>
    <ds:schemaRef ds:uri="1c6e7719-fcdf-43d9-93c1-f401bd4c4107"/>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a3e265ce-35e5-406a-a577-2d283f2c1c3a"/>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26</TotalTime>
  <Pages>3</Pages>
  <Words>1100</Words>
  <Characters>6275</Characters>
  <Application>Microsoft Office Word</Application>
  <DocSecurity>0</DocSecurity>
  <Lines>52</Lines>
  <Paragraphs>14</Paragraphs>
  <ScaleCrop>false</ScaleCrop>
  <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383</cp:revision>
  <dcterms:created xsi:type="dcterms:W3CDTF">2023-09-25T21:46:00Z</dcterms:created>
  <dcterms:modified xsi:type="dcterms:W3CDTF">2024-04-05T00:47:00Z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